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Discharge Process and Discharge Summary</w:t>
      </w:r>
    </w:p>
    <w:p>
      <w:r>
        <w:t>«Hospital Name» — Supports AAC.8.a-g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what has to be in a discharge summary, when a death summary replaces it, and how planned discharge keeps special needs from being discovered on the day the patient is leaving. If you're new to this SOP: the mandatory identification and clinical-content fields below are not a house preference — they follow the statutory format for medical records that applies to every registered medical practitioner in India, and the cause-of-death content follows the national civil-registration certification scheme.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gives a discharge summary to every patient leaving the organisation, including patients leaving against medical advice (LAMA); what identification, clinical content, follow-up and urgent-care instructions the summary must contain; how a death summary is prepared when a patient dies; and how planned discharge and special needs are identified before the patient leaves.</w:t>
      </w:r>
    </w:p>
    <w:p>
      <w:pPr>
        <w:pStyle w:val="Heading1"/>
      </w:pPr>
      <w:r>
        <w:t>2. Scope</w:t>
      </w:r>
    </w:p>
    <w:p>
      <w:r>
        <w:t>This SOP applies to treating doctors, nurses, registration/front-office staff, the Medical Superintendent and the Quality Coordinator at «Hospital Name», for every patient discharged, transferred out, or who dies in the organisation.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Doctor: </w:t>
      </w:r>
      <w:r>
        <w:t>prepares or supervises preparation of the discharge summary, writes the death summary where applicable, discusses expected discharge date and special needs with the patient and family.</w:t>
      </w:r>
    </w:p>
    <w:p>
      <w:r>
        <w:rPr>
          <w:b/>
        </w:rPr>
        <w:t xml:space="preserve">Nurse: </w:t>
      </w:r>
      <w:r>
        <w:t>assists with discharge planning, explains instructions, confirms patient/family understanding, and identifies special needs.</w:t>
      </w:r>
    </w:p>
    <w:p>
      <w:r>
        <w:rPr>
          <w:b/>
        </w:rPr>
        <w:t xml:space="preserve">Registration/Front-Office Staff: </w:t>
      </w:r>
      <w:r>
        <w:t>verify identification and dates on the discharge summary and coordinate the administrative discharge process.</w:t>
      </w:r>
    </w:p>
    <w:p>
      <w:r>
        <w:rPr>
          <w:b/>
        </w:rPr>
        <w:t xml:space="preserve">Quality Coordinator: </w:t>
      </w:r>
      <w:r>
        <w:t>audits discharge-summary completeness and issuance rate, and tracks CAPA on recurring defects.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Issue a discharge summary to every patient, including LAMA</w:t>
      </w:r>
    </w:p>
    <w:p>
      <w:r>
        <w:rPr>
          <w:b/>
        </w:rPr>
        <w:t xml:space="preserve">Why this step matters: </w:t>
      </w:r>
      <w:r>
        <w:t>A patient who leaves without a written summary — especially one who leaves against medical advice — takes an undocumented, unexplained set of risks out the door with them.</w:t>
      </w:r>
    </w:p>
    <w:p>
      <w:r>
        <w:t>1. Prepare a discharge summary for every patient leaving «Hospital Name», with no exception for patients leaving against medical advice (LAMA).</w:t>
      </w:r>
    </w:p>
    <w:p>
      <w:r>
        <w:t>2. For a LAMA patient, record in the summary what was advised, the risks of leaving explained to the patient, and that the patient left against medical advice; the separate informed-consent/LAMA acknowledgement itself is handled under the informed-consent policy — this step covers the summary content only.</w:t>
      </w:r>
    </w:p>
    <w:p>
      <w:r>
        <w:t>3. Give the discharge summary to the patient or the patient's representative before or at the time of leaving.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4.2 Complete identification, dates and clinical content</w:t>
      </w:r>
    </w:p>
    <w:p>
      <w:r>
        <w:rPr>
          <w:b/>
        </w:rPr>
        <w:t xml:space="preserve">Why this step matters: </w:t>
      </w:r>
      <w:r>
        <w:t>A discharge summary missing a date of admission, a diagnosis, or the results of a key investigation is not a summary the next treating doctor can actually rely on.</w:t>
      </w:r>
    </w:p>
    <w:p>
      <w:r>
        <w:t>1. Enter the patient's name, unique identification number, date of admission and date of discharge on every discharge summary; have the registration/front-office team verify these four fields before release.</w:t>
      </w:r>
    </w:p>
    <w:p>
      <w:r>
        <w:t>2. Enter the reasons for admission, significant findings, provisional and/or final diagnosis, the patient's condition at discharge, investigation results, any procedure performed, medication administered and other treatment given.</w:t>
      </w:r>
    </w:p>
    <w:p>
      <w:r>
        <w:t>3. Write the clinical content in language the patient or family can understand, using plain-language explanation alongside any medical terminology.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4.3 Give follow-up, medication and urgent-care instructions</w:t>
      </w:r>
    </w:p>
    <w:p>
      <w:r>
        <w:rPr>
          <w:b/>
        </w:rPr>
        <w:t xml:space="preserve">Why this step matters: </w:t>
      </w:r>
      <w:r>
        <w:t>A patient discharged with medicines but no explanation of warning signs or who to call is a readmission waiting to happen.</w:t>
      </w:r>
    </w:p>
    <w:p>
      <w:r>
        <w:t>1. Include in the discharge summary the follow-up date or timeframe, medications prescribed at discharge with dose, frequency, route and duration, diet/activity/wound-care instructions where applicable, warning signs that should prompt an earlier visit, and a contact number for queries.</w:t>
      </w:r>
    </w:p>
    <w:p>
      <w:r>
        <w:t>2. Include instructions on when and how to obtain urgent care: symptoms requiring immediate return, how to reach «Hospital Name»'s emergency department, and an alternative emergency contact if «Hospital Name» is unreachable.</w:t>
      </w:r>
    </w:p>
    <w:p>
      <w:r>
        <w:t>3. Explain all of the above verbally to the patient and/or family in the language they understand — «Hindi and English» — and document that this was done. (Record 3)</w:t>
      </w:r>
    </w:p>
    <w:p>
      <w:pPr>
        <w:pStyle w:val="Heading2"/>
      </w:pPr>
      <w:r>
        <w:t>4.4 Prepare the death summary when a patient dies</w:t>
      </w:r>
    </w:p>
    <w:p>
      <w:r>
        <w:rPr>
          <w:b/>
        </w:rPr>
        <w:t xml:space="preserve">Why this step matters: </w:t>
      </w:r>
      <w:r>
        <w:t>The cause of death recorded in a hospital's own summary and the cause certified for civil registration must be the same fact, recorded consistently, not two different accounts of how the patient died.</w:t>
      </w:r>
    </w:p>
    <w:p>
      <w:r>
        <w:t>1. When a patient dies, prepare a death summary containing all the fields of the discharge summary (identification, dates, clinical content) plus the cause of death as determined by the treating doctor, time of death, whether a post-mortem was advised and the family's decision, and any medico-legal reporting done.</w:t>
      </w:r>
    </w:p>
    <w:p>
      <w:r>
        <w:t>2. Certify the cause of death following the format and cause-of-death classification set out in the national Medical Certification of Cause of Death (MCCD) scheme, so the hospital's own record and the civil-registration certificate state the same cause.</w:t>
      </w:r>
    </w:p>
    <w:p>
      <w:r>
        <w:t>3. Give the death summary to the next of kin and retain a copy in the patient file.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>. Issued under the Registration of Births and Deaths Act, 1969, Sections 10(2)-10(3); governs how the treating doctor certifies and records the cause of death.</w:t>
      </w:r>
    </w:p>
    <w:p>
      <w:pPr>
        <w:pStyle w:val="Heading2"/>
      </w:pPr>
      <w:r>
        <w:t>4.5 Plan discharge in advance and identify special needs</w:t>
      </w:r>
    </w:p>
    <w:p>
      <w:r>
        <w:rPr>
          <w:b/>
        </w:rPr>
        <w:t xml:space="preserve">Why this step matters: </w:t>
      </w:r>
      <w:r>
        <w:t>Special needs discovered for the first time on the day of discharge — a wheelchair not arranged, a family not trained in wound care — turn a planned departure into a last-minute scramble that risks readmission.</w:t>
      </w:r>
    </w:p>
    <w:p>
      <w:r>
        <w:t>1. Discuss the expected date of discharge with the patient and family early in the stay, and update it as the clinical situation changes.</w:t>
      </w:r>
    </w:p>
    <w:p>
      <w:r>
        <w:t>2. Before discharge, identify special needs affecting care after discharge — «wound care, physiotherapy, mobility aids, home nursing, dietary needs, oxygen, follow-up investigations, referral to another facility».</w:t>
      </w:r>
    </w:p>
    <w:p>
      <w:r>
        <w:t>3. Where a special need is identified, include in the discharge plan how it will be met — «written instructions, referral letter, equipment arranged, or family trained».</w:t>
      </w:r>
    </w:p>
    <w:p>
      <w:r>
        <w:t>4. Before the patient leaves, confirm that the patient and family understand the discharge plan and the special-needs arrangements. (Record 5)</w:t>
      </w:r>
    </w:p>
    <w:p>
      <w:pPr>
        <w:pStyle w:val="Heading1"/>
      </w:pPr>
      <w:r>
        <w:t>5. Records</w:t>
      </w:r>
    </w:p>
    <w:p>
      <w:r>
        <w:t>This SOP produces and maintains Records 1-5 (see the AAC.8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Discharge Process and Discharge Summary (AAC.8) — this SOP operationalises sections 5.1-5.7</w:t>
      </w:r>
    </w:p>
    <w:p>
      <w:pPr>
        <w:pStyle w:val="ListParagraph"/>
      </w:pPr>
      <w:r>
        <w:t>Required Records — AAC.8.a-g (see AAC.8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when the discharge process, summary template or clinical protocols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mc.org.in/rules-regulations/code-of-medical-ethics-regulations-2002/1000/" TargetMode="External"/><Relationship Id="rId10" Type="http://schemas.openxmlformats.org/officeDocument/2006/relationships/hyperlink" Target="https://censusindia.gov.in/nada/index.php/catalog/40073/download/43743/Physician_Manual_MCCD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