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HRM.5.b — Health checks of staff are done at least once a year and the findings/results are documented.</w:t>
      </w:r>
    </w:p>
    <w:p>
      <w:r>
        <w:t>HRM.5 Record 02 — Annual health check form and schedule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 / Role: The staff member checked.</w:t>
      </w:r>
    </w:p>
    <w:p>
      <w:pPr>
        <w:pStyle w:val="ListParagraph"/>
      </w:pPr>
      <w:r>
        <w:t>Check Date: When the check was done.</w:t>
      </w:r>
    </w:p>
    <w:p>
      <w:pPr>
        <w:pStyle w:val="ListParagraph"/>
      </w:pPr>
      <w:r>
        <w:t>Findings Summary: General examination, screening and test results.</w:t>
      </w:r>
    </w:p>
    <w:p>
      <w:pPr>
        <w:pStyle w:val="ListParagraph"/>
      </w:pPr>
      <w:r>
        <w:t>Abnormal Finding (Y/N): Whether anything needs follow-up.</w:t>
      </w:r>
    </w:p>
    <w:p>
      <w:pPr>
        <w:pStyle w:val="ListParagraph"/>
      </w:pPr>
      <w:r>
        <w:t>Referral / Reassignment (If Applicable): Follow-up treatment arranged, or reassignment pending clearance.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documented finding from every staff member's annual health check — not just confirmation a check happened, but what it actually found.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schedules and files this annually for every active staff member. The worked example shows a lab technician's normal annual check.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health check that happens with no documented finding proves nothing — this record is what makes the check something the hospital can act on, not just an appointment kept.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Employee Name / Role</w:t>
            </w:r>
          </w:p>
        </w:tc>
        <w:tc>
          <w:tcPr>
            <w:tcW w:type="dxa" w:w="1728"/>
          </w:tcPr>
          <w:p>
            <w:r>
              <w:t>Check Date</w:t>
            </w:r>
          </w:p>
        </w:tc>
        <w:tc>
          <w:tcPr>
            <w:tcW w:type="dxa" w:w="1728"/>
          </w:tcPr>
          <w:p>
            <w:r>
              <w:t>Findings Summary</w:t>
            </w:r>
          </w:p>
        </w:tc>
        <w:tc>
          <w:tcPr>
            <w:tcW w:type="dxa" w:w="1728"/>
          </w:tcPr>
          <w:p>
            <w:r>
              <w:t>Abnormal Finding (Y/N)</w:t>
            </w:r>
          </w:p>
        </w:tc>
        <w:tc>
          <w:tcPr>
            <w:tcW w:type="dxa" w:w="1728"/>
          </w:tcPr>
          <w:p>
            <w:r>
              <w:t>Referral / Reassignment (If Applicable)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Kiran Desai, Lab Technician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General exam normal; chest X-ray clear; vaccination status current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