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HRM.6.c — Records of in-service training and education are contained in the personal files.</w:t>
      </w:r>
    </w:p>
    <w:p>
      <w:r>
        <w:t>HRM.6 Record 03 — Central training register (mirrors individual personal files)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Name: The staff member trained.</w:t>
      </w:r>
    </w:p>
    <w:p>
      <w:pPr>
        <w:pStyle w:val="ListParagraph"/>
      </w:pPr>
      <w:r>
        <w:t>Training Topic / Date: What training, and when.</w:t>
      </w:r>
    </w:p>
    <w:p>
      <w:pPr>
        <w:pStyle w:val="ListParagraph"/>
      </w:pPr>
      <w:r>
        <w:t>Trainer / Institution: Who delivered it.</w:t>
      </w:r>
    </w:p>
    <w:p>
      <w:pPr>
        <w:pStyle w:val="ListParagraph"/>
      </w:pPr>
      <w:r>
        <w:t>Attendance/Certificate Filed (Y/N, Date): Whether the record made it into the personal file, and when.</w:t>
      </w:r>
    </w:p>
    <w:p>
      <w:pPr>
        <w:pStyle w:val="ListParagraph"/>
      </w:pPr>
      <w:r>
        <w:t>Competency Assessment Result (If Applicable): The result, where return demonstration was required.</w:t>
      </w:r>
    </w:p>
    <w:p>
      <w:pPr>
        <w:pStyle w:val="ListParagraph"/>
      </w:pPr>
      <w:r>
        <w:t>Mandatory Gap Closed Within 30 Days (Y/N): If this closes a previously identified gap.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central mirror of every individual's training section — the single place the HR Manager can check to produce any staff member's training history within a day, without pulling every individual 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Manager updates this register as each training event's record is filed. The worked example shows a lab technician's biomedical-waste refresher filed within two days.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training certificate left in a department drawer is, from the personal file's point of view, the same as training that never happened — this register is what proves the record actually reached the file it belongs in.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Name</w:t>
            </w:r>
          </w:p>
        </w:tc>
        <w:tc>
          <w:tcPr>
            <w:tcW w:type="dxa" w:w="1440"/>
          </w:tcPr>
          <w:p>
            <w:r>
              <w:t>Training Topic / Date</w:t>
            </w:r>
          </w:p>
        </w:tc>
        <w:tc>
          <w:tcPr>
            <w:tcW w:type="dxa" w:w="1440"/>
          </w:tcPr>
          <w:p>
            <w:r>
              <w:t>Trainer / Institution</w:t>
            </w:r>
          </w:p>
        </w:tc>
        <w:tc>
          <w:tcPr>
            <w:tcW w:type="dxa" w:w="1440"/>
          </w:tcPr>
          <w:p>
            <w:r>
              <w:t>Attendance/Certificate Filed (Y/N, Date)</w:t>
            </w:r>
          </w:p>
        </w:tc>
        <w:tc>
          <w:tcPr>
            <w:tcW w:type="dxa" w:w="1440"/>
          </w:tcPr>
          <w:p>
            <w:r>
              <w:t>Competency Assessment Result (If Applicable)</w:t>
            </w:r>
          </w:p>
        </w:tc>
        <w:tc>
          <w:tcPr>
            <w:tcW w:type="dxa" w:w="1440"/>
          </w:tcPr>
          <w:p>
            <w:r>
              <w:t>Mandatory Gap Closed Within 30 Days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Rahul Mehta, Lab Technician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waste segregation refresher, 08-Apr-2026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Infection Control Nurse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filed 10-Apr-2026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 — return demonstration satisfactory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— not a gap closure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