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HRM.7.a — Medical professionals permitted by law, regulation and the organisation to provide patient care without supervision are identified.</w:t>
      </w:r>
    </w:p>
    <w:p>
      <w:r>
        <w:t>HRM.7 Record 01 — Medical privileging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Doctor Name / Employee or Consultant ID: Who is listed.</w:t>
      </w:r>
    </w:p>
    <w:p>
      <w:pPr>
        <w:pStyle w:val="ListParagraph"/>
      </w:pPr>
      <w:r>
        <w:t>NMC Registration No. / SMC Registration No.: Both registration numbers.</w:t>
      </w:r>
    </w:p>
    <w:p>
      <w:pPr>
        <w:pStyle w:val="ListParagraph"/>
      </w:pPr>
      <w:r>
        <w:t>Qualification (Degree / Speciality): What they are qualified in.</w:t>
      </w:r>
    </w:p>
    <w:p>
      <w:pPr>
        <w:pStyle w:val="ListParagraph"/>
      </w:pPr>
      <w:r>
        <w:t>Date of Initial Credentialing / Last Re-Credentialing: The history of credentialing cycles.</w:t>
      </w:r>
    </w:p>
    <w:p>
      <w:pPr>
        <w:pStyle w:val="ListParagraph"/>
      </w:pPr>
      <w:r>
        <w:t>Privileges Granted / Restrictions: What they're authorised to do, and any limits.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HRM.7.</w:t>
      </w:r>
    </w:p>
    <w:p>
      <w:pPr>
        <w:pStyle w:val="ListParagraph"/>
        <w:spacing w:after="240" w:before="80"/>
        <w:contextualSpacing w:val="0"/>
      </w:pPr>
      <w:r>
        <w:t xml:space="preserve">• Government of India. (2019). </w:t>
      </w:r>
      <w:hyperlink r:id="rId10">
        <w:r>
          <w:rPr>
            <w:color w:val="0563C1"/>
            <w:u w:val="single"/>
          </w:rPr>
          <w:t>The National Medical Commission Act, 2019 (Act No. 30 of 2019)</w:t>
        </w:r>
      </w:hyperlink>
      <w:r>
        <w:t>. Section 34(1) (“Bar to practice”) prohibits anyone not enrolled in the State Register or National Register from practising medicine or holding a post as a physician or surgeon; Section 34(2) sets criminal penalties for contravention. This is the statutory basis the entire credentialing, privileging and stop-work structure in this SOP enforces.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master list of every doctor permitted to provide unsupervised care, their registration numbers, and exactly what they are privileged to 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and Medical Superintendent maintain this together. The worked example shows a consultant's privileges clearly scoped to general medicine, excluding surgery.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doctor providing unsupervised care with no entry in this register is practising on assumption, not verification — this register is what makes 'who is authorised' a checkable fact rather than an assumption, and Section 34(1) of the National Medical Commission Act makes that check a legal requirement, not just a NABH preference.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Doctor Name / Employee or Consultant ID</w:t>
            </w:r>
          </w:p>
        </w:tc>
        <w:tc>
          <w:tcPr>
            <w:tcW w:type="dxa" w:w="1728"/>
          </w:tcPr>
          <w:p>
            <w:r>
              <w:t>NMC Registration No. / SMC Registration No.</w:t>
            </w:r>
          </w:p>
        </w:tc>
        <w:tc>
          <w:tcPr>
            <w:tcW w:type="dxa" w:w="1728"/>
          </w:tcPr>
          <w:p>
            <w:r>
              <w:t>Qualification (Degree / Speciality)</w:t>
            </w:r>
          </w:p>
        </w:tc>
        <w:tc>
          <w:tcPr>
            <w:tcW w:type="dxa" w:w="1728"/>
          </w:tcPr>
          <w:p>
            <w:r>
              <w:t>Date of Initial Credentialing / Last Re-Credentialing</w:t>
            </w:r>
          </w:p>
        </w:tc>
        <w:tc>
          <w:tcPr>
            <w:tcW w:type="dxa" w:w="1728"/>
          </w:tcPr>
          <w:p>
            <w:r>
              <w:t>Privileges Granted / Restrictions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Dr. Ashwin Rao, Consultant ID CON-014</w:t>
            </w:r>
          </w:p>
        </w:tc>
        <w:tc>
          <w:tcPr>
            <w:tcW w:type="dxa" w:w="1728"/>
            <w:shd w:val="clear" w:color="auto" w:fill="FFF2CC"/>
          </w:tcPr>
          <w:p>
            <w:r>
              <w:t>NMC Reg. 2018-0456789 / Maharashtra Medical Council MMC-98213</w:t>
            </w:r>
          </w:p>
        </w:tc>
        <w:tc>
          <w:tcPr>
            <w:tcW w:type="dxa" w:w="1728"/>
            <w:shd w:val="clear" w:color="auto" w:fill="FFF2CC"/>
          </w:tcPr>
          <w:p>
            <w:r>
              <w:t>MBBS, MD General Medicine</w:t>
            </w:r>
          </w:p>
        </w:tc>
        <w:tc>
          <w:tcPr>
            <w:tcW w:type="dxa" w:w="1728"/>
            <w:shd w:val="clear" w:color="auto" w:fill="FFF2CC"/>
          </w:tcPr>
          <w:p>
            <w:r>
              <w:t>Initial: 10-Jun-2022; Last re-credentialed: 10-Jun-2024</w:t>
            </w:r>
          </w:p>
        </w:tc>
        <w:tc>
          <w:tcPr>
            <w:tcW w:type="dxa" w:w="1728"/>
            <w:shd w:val="clear" w:color="auto" w:fill="FFF2CC"/>
          </w:tcPr>
          <w:p>
            <w:r>
              <w:t>Independent admission and management of general medicine inpatients; no surgical privileges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handle/123456789/118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