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HRM.7.b — The education, registration, training, experience and other information of medical professionals are identified, verified, documented and updated periodically.</w:t>
      </w:r>
    </w:p>
    <w:p>
      <w:r>
        <w:t>HRM.7 Record 02 — Credentialing verification file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Doctor Name: Whose credentials this entry verifies.</w:t>
      </w:r>
    </w:p>
    <w:p>
      <w:pPr>
        <w:pStyle w:val="ListParagraph"/>
      </w:pPr>
      <w:r>
        <w:t>Document Verified: Degree, registration, CME record, experience letter, etc.</w:t>
      </w:r>
    </w:p>
    <w:p>
      <w:pPr>
        <w:pStyle w:val="ListParagraph"/>
      </w:pPr>
      <w:r>
        <w:t>Verification Source / Date: Who was contacted (university, council) and when.</w:t>
      </w:r>
    </w:p>
    <w:p>
      <w:pPr>
        <w:pStyle w:val="ListParagraph"/>
      </w:pPr>
      <w:r>
        <w:t>Verifying Officer: Who at the hospital did the verification.</w:t>
      </w:r>
    </w:p>
    <w:p>
      <w:pPr>
        <w:pStyle w:val="ListParagraph"/>
      </w:pPr>
      <w:r>
        <w:t>Re-Verification Due Date: 60 days before the current registration's expiry.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HRM.7.</w:t>
      </w:r>
    </w:p>
    <w:p>
      <w:pPr>
        <w:pStyle w:val="ListParagraph"/>
        <w:spacing w:after="240" w:before="80"/>
        <w:contextualSpacing w:val="0"/>
      </w:pPr>
      <w:r>
        <w:t xml:space="preserve">• Government of India. (2019). </w:t>
      </w:r>
      <w:hyperlink r:id="rId10">
        <w:r>
          <w:rPr>
            <w:color w:val="0563C1"/>
            <w:u w:val="single"/>
          </w:rPr>
          <w:t>The National Medical Commission Act, 2019 (Act No. 30 of 2019)</w:t>
        </w:r>
      </w:hyperlink>
      <w:r>
        <w:t>. Section 34(1) (“Bar to practice”) prohibits anyone not enrolled in the State Register or National Register from practising medicine or holding a post as a physician or surgeon; Section 34(2) sets criminal penalties for contravention. This is the statutory basis the entire credentialing, privileging and stop-work structure in this SOP enforces.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every credential on file was actually checked against its issuing source, not just copied from the doctor's own paperwork.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logs each verification at credentialing and renewal. The worked example shows a registration checked directly against the State Medical Council's own registry.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registration number that is on file but was never actually checked with the council is a claim, not a verification — this log is what proves the check genuinely happened, which is what Section 34(1) requires before anyone relies on that registration being current.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Doctor Name</w:t>
            </w:r>
          </w:p>
        </w:tc>
        <w:tc>
          <w:tcPr>
            <w:tcW w:type="dxa" w:w="1728"/>
          </w:tcPr>
          <w:p>
            <w:r>
              <w:t>Document Verified</w:t>
            </w:r>
          </w:p>
        </w:tc>
        <w:tc>
          <w:tcPr>
            <w:tcW w:type="dxa" w:w="1728"/>
          </w:tcPr>
          <w:p>
            <w:r>
              <w:t>Verification Source / Date</w:t>
            </w:r>
          </w:p>
        </w:tc>
        <w:tc>
          <w:tcPr>
            <w:tcW w:type="dxa" w:w="1728"/>
          </w:tcPr>
          <w:p>
            <w:r>
              <w:t>Verifying Officer</w:t>
            </w:r>
          </w:p>
        </w:tc>
        <w:tc>
          <w:tcPr>
            <w:tcW w:type="dxa" w:w="1728"/>
          </w:tcPr>
          <w:p>
            <w:r>
              <w:t>Re-Verification Due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Dr. Priyanka Iyer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State Medical Council registration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Karnataka Medical Council online registry, checked 05-Jan-2026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HR Manager</w:t>
            </w:r>
          </w:p>
        </w:tc>
        <w:tc>
          <w:tcPr>
            <w:tcW w:type="dxa" w:w="1728"/>
            <w:shd w:val="clear" w:color="auto" w:fill="FFF2CC"/>
          </w:tcPr>
          <w:p>
            <w:r>
              <w:t>Re-verify by 06-Nov-2027 (60 days before expiry)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handle/123456789/118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