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Staff Well-Being and Occupational Health</w:t>
      </w:r>
    </w:p>
    <w:p>
      <w:r>
        <w:t>«Hospital Name» — Supports HRM.5.a, HRM.5.b, HRM.5.c, HRM.5.d</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identifies occupational hazards, runs annual health checks, treats workplace injuries, and prevents and handles workplace violence. If you're new to this SOP: infection-specific exposure (a needlestick, a splash) always goes to HIC.4 immediately, not this SOP — this document covers everything else about staff occupational health.</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HR In-Charge / Personnel Officer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identifies staff health problems and occupational hazards, runs an annual health check for every active staff member with documented findings, provides treatment for workplace-related injuries, and prevents and handles workplace violence. This SOP owns general staff occupational health. Infection-specific exposure (needlestick, sharps, splash, post-exposure prophylaxis) is owned by HIC.4 and is not duplicated here.</w:t>
      </w:r>
    </w:p>
    <w:p>
      <w:pPr>
        <w:pStyle w:val="Heading1"/>
      </w:pPr>
      <w:r>
        <w:t>2. Scope</w:t>
      </w:r>
    </w:p>
    <w:p>
      <w:r>
        <w:t>This SOP applies to the «HR In-Charge / Personnel Officer», the Medical Superintendent, department heads and the Quality Coordinator, for every staff member at «Hospital Name». It covers HRM.5.a–d. It does not cover infection-control occupational exposure response (HIC.4), occupational safety training delivery (HRM.3.d), or credentialing health-status verification (HRM.6.b).</w:t>
      </w:r>
    </w:p>
    <w:p>
      <w:pPr>
        <w:pStyle w:val="Heading1"/>
      </w:pPr>
      <w:r>
        <w:t>3. Responsibility</w:t>
      </w:r>
    </w:p>
    <w:p>
      <w:r>
        <w:rPr>
          <w:b/>
        </w:rPr>
        <w:t xml:space="preserve">Medical Superintendent: </w:t>
      </w:r>
      <w:r>
        <w:t>approves the occupational health policy and workplace violence measures, ensures treatment is provided for workplace injuries, and reviews violence incidents and prevention effectiveness.</w:t>
      </w:r>
    </w:p>
    <w:p>
      <w:r>
        <w:rPr>
          <w:b/>
        </w:rPr>
        <w:t xml:space="preserve">HR In-Charge / Personnel Officer: </w:t>
      </w:r>
      <w:r>
        <w:t>maintains the occupational health hazard register and health-check schedule, coordinates annual health checks, and documents workplace injuries and violence incidents.</w:t>
      </w:r>
    </w:p>
    <w:p>
      <w:r>
        <w:rPr>
          <w:b/>
        </w:rPr>
        <w:t xml:space="preserve">Department Heads: </w:t>
      </w:r>
      <w:r>
        <w:t>report occupational hazards in their areas, ensure staff attend annual health checks, and support the immediate response to a violence incident.</w:t>
      </w:r>
    </w:p>
    <w:p>
      <w:r>
        <w:rPr>
          <w:b/>
        </w:rPr>
        <w:t xml:space="preserve">Quality Coordinator: </w:t>
      </w:r>
      <w:r>
        <w:t>audits this SOP quarterly.</w:t>
      </w:r>
    </w:p>
    <w:p>
      <w:r>
        <w:rPr>
          <w:b/>
        </w:rPr>
        <w:t xml:space="preserve">All Staff: </w:t>
      </w:r>
      <w:r>
        <w:t>attend annual health checks, report workplace injuries and violence immediately, and follow HIC.4 for infection-specific exposure.</w:t>
      </w:r>
    </w:p>
    <w:p>
      <w:pPr>
        <w:pStyle w:val="Heading1"/>
      </w:pPr>
      <w:r>
        <w:t>4. Procedure</w:t>
      </w:r>
    </w:p>
    <w:p>
      <w:pPr>
        <w:pStyle w:val="Heading2"/>
      </w:pPr>
      <w:r>
        <w:t>4.1 Identify staff health problems and occupational hazards</w:t>
      </w:r>
    </w:p>
    <w:p>
      <w:r>
        <w:rPr>
          <w:b/>
        </w:rPr>
        <w:t xml:space="preserve">Why this step matters: </w:t>
      </w:r>
      <w:r>
        <w:t>A hazard that is never written down is a hazard the hospital has no way of proving it ever addressed, and a health problem that is never identified cannot be acted on before it becomes an injury.</w:t>
      </w:r>
    </w:p>
    <w:p>
      <w:r>
        <w:t>1. The occupational health programme covers hazard identification in each department, health surveillance for roles with known exposure (for example radiology, laboratory, operating areas), immunisation status tracking, and mental well-being awareness.</w:t>
      </w:r>
    </w:p>
    <w:p>
      <w:r>
        <w:t>2. The HR In-Charge maintains an occupational health hazard register, updated «annually» or immediately when a new hazard is identified.</w:t>
      </w:r>
    </w:p>
    <w:p>
      <w:r>
        <w:t>3. Department heads report new hazards as they arise; infection-specific exposure is handled per HIC.4 and is not duplicated in this register. (Record 1)</w:t>
      </w:r>
    </w:p>
    <w:p>
      <w:pPr>
        <w:pStyle w:val="Heading2"/>
      </w:pPr>
      <w:r>
        <w:t>4.2 Conduct an annual health check for every active staff member</w:t>
      </w:r>
    </w:p>
    <w:p>
      <w:r>
        <w:rPr>
          <w:b/>
        </w:rPr>
        <w:t xml:space="preserve">Why this step matters: </w:t>
      </w:r>
      <w:r>
        <w:t>A health check that happens once at hiring and never again cannot catch a condition that develops on the job — the annual cycle is what makes this a genuine ongoing safeguard rather than a one-time formality.</w:t>
      </w:r>
    </w:p>
    <w:p>
      <w:r>
        <w:t>1. Every active staff member receives an annual health check: general physical examination, vision and hearing screening where the role requires it, chest X-ray or PPD for high-risk roles, vaccination status review, and any role-specific test defined in the hazard register.</w:t>
      </w:r>
    </w:p>
    <w:p>
      <w:r>
        <w:t>2. Results are recorded on a standard health-check form and filed in the personnel file.</w:t>
      </w:r>
    </w:p>
    <w:p>
      <w:r>
        <w:t>3. Abnormal findings are referred for follow-up treatment; a staff member who cannot perform patient-facing duties due to a health finding is reassigned per medical advice until cleared. (Record 2)</w:t>
      </w:r>
    </w:p>
    <w:p>
      <w:pPr>
        <w:pStyle w:val="Heading2"/>
      </w:pPr>
      <w:r>
        <w:t>4.3 Provide treatment for workplace-related injuries</w:t>
      </w:r>
    </w:p>
    <w:p>
      <w:r>
        <w:rPr>
          <w:b/>
        </w:rPr>
        <w:t xml:space="preserve">Why this step matters: </w:t>
      </w:r>
      <w:r>
        <w:t>A staff member injured on the job who has to pay for their own treatment, or whose injury is never documented, has no legal protection and the hospital has no record to learn from.</w:t>
      </w:r>
    </w:p>
    <w:p>
      <w:r>
        <w:t>1. Workplace injuries covered include slips and falls, manual handling injuries, chemical exposure (non-infection), and injuries from workplace violence.</w:t>
      </w:r>
    </w:p>
    <w:p>
      <w:r>
        <w:t>2. The procedure runs immediate first aid, medical assessment, treatment at the hospital's own emergency service or a designated panel doctor, documentation of the injury, and a return-to-work assessment.</w:t>
      </w:r>
    </w:p>
    <w:p>
      <w:r>
        <w:t>3. Injury records are filed in the personnel file and reported to the Medical Superintendent; a repeat injury in the same area triggers a review of the hazard register. (Record 3)</w:t>
      </w:r>
    </w:p>
    <w:p>
      <w:r>
        <w:rPr>
          <w:b/>
          <w:i/>
        </w:rPr>
        <w:t xml:space="preserve">Technical source(s) for these steps: </w:t>
      </w:r>
    </w:p>
    <w:p>
      <w:pPr>
        <w:pStyle w:val="ListParagraph"/>
        <w:spacing w:after="240" w:before="80"/>
        <w:contextualSpacing w:val="0"/>
      </w:pPr>
      <w:r>
        <w:t xml:space="preserve">• Government of India. (1923, amended 2017). </w:t>
      </w:r>
      <w:hyperlink r:id="rId9">
        <w:r>
          <w:rPr>
            <w:color w:val="0563C1"/>
            <w:u w:val="single"/>
          </w:rPr>
          <w:t>The Employee's Compensation Act, 1923</w:t>
        </w:r>
      </w:hyperlink>
      <w:r>
        <w:t>. Section 3(1) makes an employer liable to pay compensation for a personal injury caused by an accident in the course of employment; Section 4(2A) requires reimbursement of actual medical expenditure. Referenced as the statutory basis for this step's injury-treatment duty, alongside the NABH requirement.</w:t>
      </w:r>
    </w:p>
    <w:p>
      <w:pPr>
        <w:pStyle w:val="Heading2"/>
      </w:pPr>
      <w:r>
        <w:t>4.4 Prevent and handle workplace violence</w:t>
      </w:r>
    </w:p>
    <w:p>
      <w:r>
        <w:rPr>
          <w:b/>
        </w:rPr>
        <w:t xml:space="preserve">Why this step matters: </w:t>
      </w:r>
      <w:r>
        <w:t>Waiting for a violent incident to happen before deciding how to respond to it means the response is improvised in the moment it matters most — prevention and handling measures have to be decided and communicated in advance.</w:t>
      </w:r>
    </w:p>
    <w:p>
      <w:r>
        <w:t>1. Prevention measures include staff training on de-escalation, visible security measures, restricted access to high-risk areas, and a zero-tolerance policy communicated to patients and visitors.</w:t>
      </w:r>
    </w:p>
    <w:p>
      <w:r>
        <w:t>2. Handling measures cover an immediate safety response, reporting to the Medical Superintendent and local police where applicable, medical treatment for the injured staff member, incident documentation, support and counselling for affected staff, and a review of prevention measures after every event. (Record 4)</w:t>
      </w:r>
    </w:p>
    <w:p>
      <w:r>
        <w:rPr>
          <w:b/>
          <w:i/>
        </w:rPr>
        <w:t xml:space="preserve">Technical source(s) for these steps: </w:t>
      </w:r>
    </w:p>
    <w:p>
      <w:pPr>
        <w:pStyle w:val="ListParagraph"/>
        <w:spacing w:after="240" w:before="80"/>
        <w:contextualSpacing w:val="0"/>
      </w:pPr>
      <w:r>
        <w:t xml:space="preserve">• World Health Organization, International Labour Organization, International Council of Nurses, &amp; Public Services International. (2002). </w:t>
      </w:r>
      <w:hyperlink r:id="rId10">
        <w:r>
          <w:rPr>
            <w:color w:val="0563C1"/>
            <w:u w:val="single"/>
          </w:rPr>
          <w:t>Framework Guidelines for Addressing Workplace Violence in the Health Sector</w:t>
        </w:r>
      </w:hyperlink>
      <w:r>
        <w:t>. The international framework this step's prevention and handling measures (de-escalation training, access control, zero-tolerance policy, post-event review) follow; referenced as an external benchmark, not an NABH mandate.</w:t>
      </w:r>
    </w:p>
    <w:p>
      <w:pPr>
        <w:pStyle w:val="Heading1"/>
      </w:pPr>
      <w:r>
        <w:t>5. Records</w:t>
      </w:r>
    </w:p>
    <w:p>
      <w:r>
        <w:t>This SOP produces and maintains Records 1-4 (see the HRM.5 Records folder).</w:t>
      </w:r>
    </w:p>
    <w:p>
      <w:pPr>
        <w:pStyle w:val="Heading1"/>
      </w:pPr>
      <w:r>
        <w:t>6. Related Documents</w:t>
      </w:r>
    </w:p>
    <w:p>
      <w:pPr>
        <w:pStyle w:val="ListParagraph"/>
      </w:pPr>
      <w:r>
        <w:t>Policy on Staff Well-Being and Occupational Health (HRM.5) — this SOP operationalises sections 5.1-5.4</w:t>
      </w:r>
    </w:p>
    <w:p>
      <w:pPr>
        <w:pStyle w:val="ListParagraph"/>
      </w:pPr>
      <w:r>
        <w:t>Required Records — HRM.5.a-d (see HRM.5 Records folder)</w:t>
      </w:r>
    </w:p>
    <w:p>
      <w:pPr>
        <w:pStyle w:val="Heading1"/>
      </w:pPr>
      <w:r>
        <w:t>7. Where This SOP's Requirements Come From (Verified Sources)</w:t>
      </w:r>
    </w:p>
    <w:p>
      <w:pPr>
        <w:pStyle w:val="ListParagraph"/>
        <w:spacing w:after="240" w:before="80"/>
        <w:contextualSpacing w:val="0"/>
      </w:pPr>
      <w:r>
        <w:t xml:space="preserve">• National Accreditation Board for Hospitals and Healthcare Providers. (2022). Standards for Small Healthcare Organisations (3rd ed.). </w:t>
      </w:r>
      <w:hyperlink r:id="rId11">
        <w:r>
          <w:rPr>
            <w:color w:val="0563C1"/>
            <w:u w:val="single"/>
          </w:rPr>
          <w:t>NABH SHCO Accreditation Programme page</w:t>
        </w:r>
      </w:hyperlink>
      <w:r>
        <w:t>. Human Resource Management chapter, standard HRM.5.</w:t>
      </w:r>
    </w:p>
    <w:p>
      <w:pPr>
        <w:pStyle w:val="ListParagraph"/>
        <w:spacing w:after="240" w:before="80"/>
        <w:contextualSpacing w:val="0"/>
      </w:pPr>
      <w:r>
        <w:t xml:space="preserve">• Government of India. (1923, amended 2017). </w:t>
      </w:r>
      <w:hyperlink r:id="rId9">
        <w:r>
          <w:rPr>
            <w:color w:val="0563C1"/>
            <w:u w:val="single"/>
          </w:rPr>
          <w:t>The Employee's Compensation Act, 1923</w:t>
        </w:r>
      </w:hyperlink>
      <w:r>
        <w:t>. Section 3(1) makes an employer liable to pay compensation for a personal injury caused by an accident in the course of employment; Section 4(2A) requires reimbursement of actual medical expenditure. Referenced as the statutory basis for this step's injury-treatment duty, alongside the NABH requirement.</w:t>
      </w:r>
    </w:p>
    <w:p>
      <w:pPr>
        <w:pStyle w:val="ListParagraph"/>
        <w:spacing w:after="240" w:before="80"/>
        <w:contextualSpacing w:val="0"/>
      </w:pPr>
      <w:r>
        <w:t xml:space="preserve">• World Health Organization, International Labour Organization, International Council of Nurses, &amp; Public Services International. (2002). </w:t>
      </w:r>
      <w:hyperlink r:id="rId10">
        <w:r>
          <w:rPr>
            <w:color w:val="0563C1"/>
            <w:u w:val="single"/>
          </w:rPr>
          <w:t>Framework Guidelines for Addressing Workplace Violence in the Health Sector</w:t>
        </w:r>
      </w:hyperlink>
      <w:r>
        <w:t>. The international framework this step's prevention and handling measures (de-escalation training, access control, zero-tolerance policy, post-event review) follow; referenced as an external benchmark, not an NABH mandate.</w:t>
      </w:r>
    </w:p>
    <w:p>
      <w:pPr>
        <w:pStyle w:val="Heading1"/>
      </w:pPr>
      <w:r>
        <w:t>8. Review</w:t>
      </w:r>
    </w:p>
    <w:p>
      <w:r>
        <w:t>This SOP is reviewed at least annually by the Quality Coordinator together with the HR In-Charge, and sooner if the quarterly audit finds a health check overdue by more than «three months», a workplace injury not treated promptly, or HIC.4 exposure procedures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abour.gov.in/sites/default/files/ec_act.pdf" TargetMode="External"/><Relationship Id="rId10" Type="http://schemas.openxmlformats.org/officeDocument/2006/relationships/hyperlink" Target="https://www.who.int/publications/i/item/9221134466" TargetMode="External"/><Relationship Id="rId11"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