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ROM.4.c — Management ensures implementation of systems for internal and external reporting of system and process failures.</w:t>
      </w:r>
    </w:p>
    <w:p>
      <w:r>
        <w:t>ROM.4 Record 01 — Failure-reporting register</w:t>
      </w:r>
    </w:p>
    <w:p/>
    <w:p/>
    <w:p/>
    <w:p>
      <w:r>
        <w:t>How to fill this in — column by column</w:t>
      </w:r>
    </w:p>
    <w:p>
      <w:pPr>
        <w:pStyle w:val="ListParagraph"/>
      </w:pPr>
      <w:r>
        <w:t>Report Type: Incident, near-miss, or root-cause analysis.</w:t>
      </w:r>
    </w:p>
    <w:p>
      <w:pPr>
        <w:pStyle w:val="ListParagraph"/>
      </w:pPr>
      <w:r>
        <w:t>Reported Anonymously (Y/N): Whether the reporter chose to stay anonymous.</w:t>
      </w:r>
    </w:p>
    <w:p>
      <w:pPr>
        <w:pStyle w:val="ListParagraph"/>
      </w:pPr>
      <w:r>
        <w:t>Date Received: The date the Quality Coordinator logged it.</w:t>
      </w:r>
    </w:p>
    <w:p>
      <w:pPr>
        <w:pStyle w:val="ListParagraph"/>
      </w:pPr>
      <w:r>
        <w:t>Failure Type: A short category label, used for trend analysis (e.g. 'labelling error', 'equipment failure').</w:t>
      </w:r>
    </w:p>
    <w:p>
      <w:pPr>
        <w:pStyle w:val="ListParagraph"/>
      </w:pPr>
      <w:r>
        <w:t>Description: A brief, factual statement of the failure.</w:t>
      </w:r>
    </w:p>
    <w:p>
      <w:pPr>
        <w:pStyle w:val="ListParagraph"/>
      </w:pPr>
      <w:r>
        <w:t>External Report Required (Y/N): Whether a statutory external notification applies.</w:t>
      </w:r>
    </w:p>
    <w:p>
      <w:pPr>
        <w:pStyle w:val="ListParagraph"/>
      </w:pPr>
      <w:r>
        <w:t>External Report Submitted (Date, If Yes): When the external report was submitted, if required.</w:t>
      </w:r>
    </w:p>
    <w:p>
      <w:r>
        <w:t>The first data row below (shaded yellow, and marked WORKED EXAMPLE in the row itself) is a worked example already filled in correctly. Delete it or overwrite it once you start using this record for real — don't leave the example row mixed in with real entries. Add more blank rows as needed; don't create a second copy of this file.</w:t>
      </w:r>
    </w:p>
    <w:p/>
    <w:p>
      <w:r>
        <w:t>Where this requirement comes from (verified, clickable sources)</w:t>
      </w:r>
    </w:p>
    <w:p>
      <w:pPr>
        <w:pStyle w:val="ListParagraph"/>
        <w:spacing w:after="240" w:before="80"/>
        <w:contextualSpacing w:val="0"/>
      </w:pPr>
      <w:r>
        <w:t xml:space="preserve">• National Accreditation Board for Hospitals and Healthcare Providers. (2022). Standards for Small Healthcare Organisations (3rd ed.). </w:t>
      </w:r>
      <w:hyperlink r:id="rId9">
        <w:r>
          <w:rPr>
            <w:color w:val="0563C1"/>
            <w:u w:val="single"/>
          </w:rPr>
          <w:t>NABH SHCO Accreditation Programme page</w:t>
        </w:r>
      </w:hyperlink>
      <w:r>
        <w:t>. Responsibilities of Management chapter, standard ROM.4.</w:t>
      </w:r>
    </w:p>
    <w:p>
      <w:pPr>
        <w:pStyle w:val="ListParagraph"/>
        <w:spacing w:after="240" w:before="80"/>
        <w:contextualSpacing w:val="0"/>
      </w:pPr>
      <w:r>
        <w:t xml:space="preserve">• World Health Organization. (2020, September 16). </w:t>
      </w:r>
      <w:hyperlink r:id="rId10">
        <w:r>
          <w:rPr>
            <w:color w:val="0563C1"/>
            <w:u w:val="single"/>
          </w:rPr>
          <w:t>Patient Safety Incident Reporting and Learning Systems: Technical Report and Guidance</w:t>
        </w:r>
      </w:hyperlink>
      <w:r>
        <w:t>. External benchmark only; not an NABH mandate.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What is this record, in plain terms?</w:t>
            </w:r>
          </w:p>
          <w:p>
            <w:r>
              <w:t>This record is the single log of every internally reported system or process failure, including anonymous ones, with a check against whether it also needed external notification, and a failure-type category that feeds the trend analysis.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A real example of when you'd use this</w:t>
            </w:r>
          </w:p>
          <w:p>
            <w:r>
              <w:t>The Quality Coordinator logs every report the day it comes in. The worked example shows a near-miss caught before harm, correctly assessed as not requiring external reporting.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Why does NABH ask for this?</w:t>
            </w:r>
          </w:p>
          <w:p>
            <w:r>
              <w:t>Without this register, management cannot show that a reporting system exists and is actually used — an unused reporting system is indistinguishable from no system at all.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rPr>
          <w:cantSplit/>
        </w:trPr>
        <w:tc>
          <w:tcPr>
            <w:tcW w:type="dxa" w:w="1234"/>
          </w:tcPr>
          <w:p>
            <w:r>
              <w:t>Report Type</w:t>
            </w:r>
          </w:p>
        </w:tc>
        <w:tc>
          <w:tcPr>
            <w:tcW w:type="dxa" w:w="1234"/>
          </w:tcPr>
          <w:p>
            <w:r>
              <w:t>Reported Anonymously (Y/N)</w:t>
            </w:r>
          </w:p>
        </w:tc>
        <w:tc>
          <w:tcPr>
            <w:tcW w:type="dxa" w:w="1234"/>
          </w:tcPr>
          <w:p>
            <w:r>
              <w:t>Date Received</w:t>
            </w:r>
          </w:p>
        </w:tc>
        <w:tc>
          <w:tcPr>
            <w:tcW w:type="dxa" w:w="1234"/>
          </w:tcPr>
          <w:p>
            <w:r>
              <w:t>Failure Type</w:t>
            </w:r>
          </w:p>
        </w:tc>
        <w:tc>
          <w:tcPr>
            <w:tcW w:type="dxa" w:w="1234"/>
          </w:tcPr>
          <w:p>
            <w:r>
              <w:t>Description</w:t>
            </w:r>
          </w:p>
        </w:tc>
        <w:tc>
          <w:tcPr>
            <w:tcW w:type="dxa" w:w="1234"/>
          </w:tcPr>
          <w:p>
            <w:r>
              <w:t>External Report Required (Y/N)</w:t>
            </w:r>
          </w:p>
        </w:tc>
        <w:tc>
          <w:tcPr>
            <w:tcW w:type="dxa" w:w="1234"/>
          </w:tcPr>
          <w:p>
            <w:r>
              <w:t>External Report Submitted (Date, If Yes)</w:t>
            </w:r>
          </w:p>
        </w:tc>
      </w:tr>
      <w:tr>
        <w:trPr>
          <w:cantSplit/>
        </w:trPr>
        <w:tc>
          <w:tcPr>
            <w:tcW w:type="dxa" w:w="1234"/>
            <w:shd w:val="clear" w:color="auto" w:fill="FFF2CC"/>
          </w:tcPr>
          <w:p>
            <w:r/>
          </w:p>
        </w:tc>
        <w:tc>
          <w:tcPr>
            <w:tcW w:type="dxa" w:w="1234"/>
            <w:shd w:val="clear" w:color="auto" w:fill="FFF2CC"/>
          </w:tcPr>
          <w:p>
            <w:r/>
          </w:p>
        </w:tc>
        <w:tc>
          <w:tcPr>
            <w:tcW w:type="dxa" w:w="1234"/>
            <w:shd w:val="clear" w:color="auto" w:fill="FFF2CC"/>
          </w:tcPr>
          <w:p>
            <w:r/>
          </w:p>
        </w:tc>
        <w:tc>
          <w:tcPr>
            <w:tcW w:type="dxa" w:w="1234"/>
            <w:shd w:val="clear" w:color="auto" w:fill="FFF2CC"/>
          </w:tcPr>
          <w:p>
            <w:r/>
          </w:p>
        </w:tc>
        <w:tc>
          <w:tcPr>
            <w:tcW w:type="dxa" w:w="1234"/>
            <w:shd w:val="clear" w:color="auto" w:fill="FFF2CC"/>
          </w:tcPr>
          <w:p>
            <w:r/>
          </w:p>
        </w:tc>
        <w:tc>
          <w:tcPr>
            <w:tcW w:type="dxa" w:w="1234"/>
            <w:shd w:val="clear" w:color="auto" w:fill="FFF2CC"/>
          </w:tcPr>
          <w:p>
            <w:r/>
          </w:p>
        </w:tc>
        <w:tc>
          <w:tcPr>
            <w:tcW w:type="dxa" w:w="1234"/>
            <w:shd w:val="clear" w:color="auto" w:fill="FFF2CC"/>
          </w:tcPr>
          <w:p>
            <w:r/>
          </w:p>
        </w:tc>
      </w:tr>
      <w:tr>
        <w:trPr>
          <w:cantSplit/>
        </w:trPr>
        <w:tc>
          <w:tcPr>
            <w:tcW w:type="dxa" w:w="1234"/>
            <w:shd w:val="clear" w:color="auto" w:fill="FFF2CC"/>
          </w:tcPr>
          <w:p>
            <w:r>
              <w:t>Near-miss</w:t>
            </w:r>
          </w:p>
        </w:tc>
        <w:tc>
          <w:tcPr>
            <w:tcW w:type="dxa" w:w="1234"/>
            <w:shd w:val="clear" w:color="auto" w:fill="FFF2CC"/>
          </w:tcPr>
          <w:p>
            <w:r>
              <w:t>N</w:t>
            </w:r>
          </w:p>
        </w:tc>
        <w:tc>
          <w:tcPr>
            <w:tcW w:type="dxa" w:w="1234"/>
            <w:shd w:val="clear" w:color="auto" w:fill="FFF2CC"/>
          </w:tcPr>
          <w:p>
            <w:r>
              <w:t>11-Mar-2026</w:t>
            </w:r>
          </w:p>
        </w:tc>
        <w:tc>
          <w:tcPr>
            <w:tcW w:type="dxa" w:w="1234"/>
            <w:shd w:val="clear" w:color="auto" w:fill="FFF2CC"/>
          </w:tcPr>
          <w:p>
            <w:r>
              <w:t>Labelling error</w:t>
            </w:r>
          </w:p>
        </w:tc>
        <w:tc>
          <w:tcPr>
            <w:tcW w:type="dxa" w:w="1234"/>
            <w:shd w:val="clear" w:color="auto" w:fill="FFF2CC"/>
          </w:tcPr>
          <w:p>
            <w:r>
              <w:t>Wrong-patient label generated at registration, caught before sample draw</w:t>
            </w:r>
          </w:p>
        </w:tc>
        <w:tc>
          <w:tcPr>
            <w:tcW w:type="dxa" w:w="1234"/>
            <w:shd w:val="clear" w:color="auto" w:fill="FFF2CC"/>
          </w:tcPr>
          <w:p>
            <w:r>
              <w:t>N</w:t>
            </w:r>
          </w:p>
        </w:tc>
        <w:tc>
          <w:tcPr>
            <w:tcW w:type="dxa" w:w="1234"/>
            <w:shd w:val="clear" w:color="auto" w:fill="FFF2CC"/>
          </w:tcPr>
          <w:p>
            <w:r>
              <w:t>N/A</w:t>
            </w:r>
          </w:p>
        </w:tc>
      </w:tr>
      <w:tr>
        <w:trPr>
          <w:cantSplit/>
        </w:trPr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rPr>
          <w:cantSplit/>
        </w:trPr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rPr>
          <w:cantSplit/>
        </w:trPr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rPr>
          <w:cantSplit/>
        </w:trPr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rPr>
          <w:cantSplit/>
        </w:trPr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rPr>
          <w:cantSplit/>
        </w:trPr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rPr>
          <w:cantSplit/>
        </w:trPr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abh.co/programmes/small-healthcare-organisation-shco-accreditation-programme/" TargetMode="External"/><Relationship Id="rId10" Type="http://schemas.openxmlformats.org/officeDocument/2006/relationships/hyperlink" Target="https://iris.who.int/server/api/core/bitstreams/49947589-0a06-4708-8cc9-379bc8d2f9f2/conten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