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MOM.2.d — High-risk medications are stored in areas of the organisation where it is clinically necessary.</w:t>
      </w:r>
    </w:p>
    <w:p>
      <w:r>
        <w:t>MOM.2 Record 04 — High-risk medication outside-pharmacy approval and audit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that every location outside the pharmacy holding a high-risk medication was specifically approved by the committee and is audited monthly -- not an informal stash that grew without anyone deciding it should exist.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committee approves the emergency room keeping a limited quantity of potassium chloride concentrate for genuine clinical need; the Pharmacy In-Charge audits that location monthly.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high-risk medication does not become safer because it moved from the pharmacy to a ward cupboard -- if anything it is further from the pharmacist's eye, so the safeguards matter more there, not less.</w:t>
            </w:r>
          </w:p>
        </w:tc>
      </w:tr>
    </w:tbl>
    <w:p/>
    <w:p>
      <w:r>
        <w:t>How to fill this in — column by column</w:t>
      </w:r>
    </w:p>
    <w:p>
      <w:r>
        <w:t>Location: Ward, emergency room, or other area.</w:t>
      </w:r>
    </w:p>
    <w:p>
      <w:r>
        <w:t>High-Risk Medication(s) Approved: What is stored there and at what quantity.</w:t>
      </w:r>
    </w:p>
    <w:p>
      <w:r>
        <w:t>Committee Approval Date: When the committee approved this location.</w:t>
      </w:r>
    </w:p>
    <w:p>
      <w:r>
        <w:t>Monthly Audit Date: Date of the most recent audit.</w:t>
      </w:r>
    </w:p>
    <w:p>
      <w:r>
        <w:t>Audited By: Pharmacy In-Charge.</w:t>
      </w:r>
    </w:p>
    <w:p>
      <w:r>
        <w:t>Findings: Compliant, or what was found.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High-Risk Medication(s) Approved</w:t>
            </w:r>
          </w:p>
        </w:tc>
        <w:tc>
          <w:tcPr>
            <w:tcW w:type="dxa" w:w="1440"/>
          </w:tcPr>
          <w:p>
            <w:r>
              <w:t>Committee Approval Date</w:t>
            </w:r>
          </w:p>
        </w:tc>
        <w:tc>
          <w:tcPr>
            <w:tcW w:type="dxa" w:w="1440"/>
          </w:tcPr>
          <w:p>
            <w:r>
              <w:t>Monthly Audit Date</w:t>
            </w:r>
          </w:p>
        </w:tc>
        <w:tc>
          <w:tcPr>
            <w:tcW w:type="dxa" w:w="1440"/>
          </w:tcPr>
          <w:p>
            <w:r>
              <w:t>Audited By</w:t>
            </w:r>
          </w:p>
        </w:tc>
        <w:tc>
          <w:tcPr>
            <w:tcW w:type="dxa" w:w="1440"/>
          </w:tcPr>
          <w:p>
            <w:r>
              <w:t>Findings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</w:t>
            </w:r>
          </w:p>
        </w:tc>
        <w:tc>
          <w:tcPr>
            <w:tcW w:type="dxa" w:w="1440"/>
            <w:shd w:val="clear" w:color="auto" w:fill="FFF2CC"/>
          </w:tcPr>
          <w:p>
            <w:r>
              <w:t>Emergency Room</w:t>
            </w:r>
          </w:p>
        </w:tc>
        <w:tc>
          <w:tcPr>
            <w:tcW w:type="dxa" w:w="1440"/>
            <w:shd w:val="clear" w:color="auto" w:fill="FFF2CC"/>
          </w:tcPr>
          <w:p>
            <w:r>
              <w:t>Potassium Chloride concentrate, max 2 vials</w:t>
            </w:r>
          </w:p>
        </w:tc>
        <w:tc>
          <w:tcPr>
            <w:tcW w:type="dxa" w:w="1440"/>
            <w:shd w:val="clear" w:color="auto" w:fill="FFF2CC"/>
          </w:tcPr>
          <w:p>
            <w:r>
              <w:t>12-Jan-2026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12-Feb-2026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Compliant — quantity within limit, safeguards in place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