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MOM.3.a — Medication prescription is in consonance with good practices/guidelines for the rational prescription of medications.</w:t>
      </w:r>
    </w:p>
    <w:p>
      <w:r>
        <w:t>MOM.3 Record 01 — Rational-prescribing guideline adoption and quarterly pattern review</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the hospital actually adopted a named prescribing framework and reviews prescribing patterns against it -- not that prescribers each work from memory and personal habit.</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The quarterly review finds polypharmacy (five or more concurrent medications) in a higher-than-expected share of elderly in-patients and flags it for prescriber education.</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A prescriber working from memory and habit, with no shared reference anyone else can check against, means two doctors can give the same patient contradictory advice with neither one being wrong on paper.</w:t>
            </w:r>
          </w:p>
        </w:tc>
      </w:tr>
    </w:tbl>
    <w:p/>
    <w:p>
      <w:r>
        <w:t>How to fill this in — column by column</w:t>
      </w:r>
    </w:p>
    <w:p>
      <w:r>
        <w:t>Review Period: Quarter covered.</w:t>
      </w:r>
    </w:p>
    <w:p>
      <w:r>
        <w:t>Framework Referenced: WHO Guide to Good Prescribing / National List of Essential Medicines.</w:t>
      </w:r>
    </w:p>
    <w:p>
      <w:r>
        <w:t>Pattern Reviewed: Generic-name use, polypharmacy, off-formulary rate, etc.</w:t>
      </w:r>
    </w:p>
    <w:p>
      <w:r>
        <w:t>Finding: What the review found.</w:t>
      </w:r>
    </w:p>
    <w:p>
      <w:r>
        <w:t>Action (if any): Education, feedback, or no action needed.</w:t>
      </w:r>
    </w:p>
    <w:p>
      <w:r>
        <w:t>Reviewed By: Committee.</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MOM.3.</w:t>
      </w:r>
    </w:p>
    <w:p>
      <w:pPr>
        <w:pStyle w:val="ListParagraph"/>
      </w:pPr>
      <w:r>
        <w:t xml:space="preserve">• </w:t>
      </w:r>
      <w:r>
        <w:t>de Vries, T. P. G. M., Henning, R. H., Hogerzeil, H. V., &amp; Fresle, D. A., for the World Health Organization. (1994). Guide to good prescribing: A practical manual (WHO/DAP/94.11). World Health Organization, Action Programme on Essential Drugs — the reference framework this hospital has adopted for rational prescribing practice.</w:t>
      </w:r>
    </w:p>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Review Period</w:t>
            </w:r>
          </w:p>
        </w:tc>
        <w:tc>
          <w:tcPr>
            <w:tcW w:type="dxa" w:w="1440"/>
          </w:tcPr>
          <w:p>
            <w:r>
              <w:t>Framework Referenced</w:t>
            </w:r>
          </w:p>
        </w:tc>
        <w:tc>
          <w:tcPr>
            <w:tcW w:type="dxa" w:w="1440"/>
          </w:tcPr>
          <w:p>
            <w:r>
              <w:t>Pattern Reviewed</w:t>
            </w:r>
          </w:p>
        </w:tc>
        <w:tc>
          <w:tcPr>
            <w:tcW w:type="dxa" w:w="1440"/>
          </w:tcPr>
          <w:p>
            <w:r>
              <w:t>Finding</w:t>
            </w:r>
          </w:p>
        </w:tc>
        <w:tc>
          <w:tcPr>
            <w:tcW w:type="dxa" w:w="1440"/>
          </w:tcPr>
          <w:p>
            <w:r>
              <w:t>Action (if any)</w:t>
            </w:r>
          </w:p>
        </w:tc>
        <w:tc>
          <w:tcPr>
            <w:tcW w:type="dxa" w:w="1440"/>
          </w:tcPr>
          <w:p>
            <w:r>
              <w:t>Reviewed By</w:t>
            </w:r>
          </w:p>
        </w:tc>
      </w:tr>
      <w:t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c>
          <w:tcPr>
            <w:tcW w:type="dxa" w:w="1440"/>
            <w:shd w:val="clear" w:color="auto" w:fill="FFF2CC"/>
          </w:tcPr>
          <w:p>
            <w:r>
              <w:t>WORKED EXAMPLE — Q1 2026</w:t>
            </w:r>
          </w:p>
        </w:tc>
        <w:tc>
          <w:tcPr>
            <w:tcW w:type="dxa" w:w="1440"/>
            <w:shd w:val="clear" w:color="auto" w:fill="FFF2CC"/>
          </w:tcPr>
          <w:p>
            <w:r>
              <w:t>WHO Guide to Good Prescribing</w:t>
            </w:r>
          </w:p>
        </w:tc>
        <w:tc>
          <w:tcPr>
            <w:tcW w:type="dxa" w:w="1440"/>
            <w:shd w:val="clear" w:color="auto" w:fill="FFF2CC"/>
          </w:tcPr>
          <w:p>
            <w:r>
              <w:t>Polypharmacy rate, elderly in-patients</w:t>
            </w:r>
          </w:p>
        </w:tc>
        <w:tc>
          <w:tcPr>
            <w:tcW w:type="dxa" w:w="1440"/>
            <w:shd w:val="clear" w:color="auto" w:fill="FFF2CC"/>
          </w:tcPr>
          <w:p>
            <w:r>
              <w:t>Higher than expected in 2 of 10 sampled cases</w:t>
            </w:r>
          </w:p>
        </w:tc>
        <w:tc>
          <w:tcPr>
            <w:tcW w:type="dxa" w:w="1440"/>
            <w:shd w:val="clear" w:color="auto" w:fill="FFF2CC"/>
          </w:tcPr>
          <w:p>
            <w:r>
              <w:t>Prescriber education session scheduled</w:t>
            </w:r>
          </w:p>
        </w:tc>
        <w:tc>
          <w:tcPr>
            <w:tcW w:type="dxa" w:w="1440"/>
            <w:shd w:val="clear" w:color="auto" w:fill="FFF2CC"/>
          </w:tcPr>
          <w:p>
            <w:r>
              <w:t>Multidisciplinary Medication Committee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