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MOM.3.e — Implementation of verbal orders ensures safe medication management practices.</w:t>
      </w:r>
    </w:p>
    <w:p>
      <w:r>
        <w:t>MOM.3 Record 05 — Verbal order read-back and countersignature log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every verbal order was actually read back and confirmed before being acted on, and countersigned by the prescriber within the time limit -- not acted on from a single heard instruction.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During an emergency procedure, the surgeon gives a verbal order for a medication; the nurse writes it down, reads it back, gets confirmation, and the surgeon countersigns it within the shift.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A verbal order that is acted on without being read back is a single mis-heard word away from the wrong drug, the wrong dose, or the wrong patient.</w:t>
            </w:r>
          </w:p>
        </w:tc>
      </w:tr>
    </w:tbl>
    <w:p/>
    <w:p>
      <w:r>
        <w:t>How to fill this in — column by column</w:t>
      </w:r>
    </w:p>
    <w:p>
      <w:r>
        <w:t>Date/Time: When the verbal order was given.</w:t>
      </w:r>
    </w:p>
    <w:p>
      <w:r>
        <w:t>Patient (Identifier 1) / UID (Identifier 2): The patient.</w:t>
      </w:r>
    </w:p>
    <w:p>
      <w:r>
        <w:t>Order (as read back): Drug, dose, route, frequency as confirmed.</w:t>
      </w:r>
    </w:p>
    <w:p>
      <w:r>
        <w:t>Received By: Nurse or pharmacist.</w:t>
      </w:r>
    </w:p>
    <w:p>
      <w:r>
        <w:t>Countersigned By / Date: Prescriber, within 24 hours.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Management of Medication chapter, standard MOM.3.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Date/Time</w:t>
            </w:r>
          </w:p>
        </w:tc>
        <w:tc>
          <w:tcPr>
            <w:tcW w:type="dxa" w:w="1728"/>
          </w:tcPr>
          <w:p>
            <w:r>
              <w:t>Patient (Identifier 1) / UID (Identifier 2)</w:t>
            </w:r>
          </w:p>
        </w:tc>
        <w:tc>
          <w:tcPr>
            <w:tcW w:type="dxa" w:w="1728"/>
          </w:tcPr>
          <w:p>
            <w:r>
              <w:t>Order (as read back)</w:t>
            </w:r>
          </w:p>
        </w:tc>
        <w:tc>
          <w:tcPr>
            <w:tcW w:type="dxa" w:w="1728"/>
          </w:tcPr>
          <w:p>
            <w:r>
              <w:t>Received By</w:t>
            </w:r>
          </w:p>
        </w:tc>
        <w:tc>
          <w:tcPr>
            <w:tcW w:type="dxa" w:w="1728"/>
          </w:tcPr>
          <w:p>
            <w:r>
              <w:t>Countersigned By / Date</w:t>
            </w:r>
          </w:p>
        </w:tc>
      </w:tr>
      <w:t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c>
          <w:tcPr>
            <w:tcW w:type="dxa" w:w="1728"/>
            <w:shd w:val="clear" w:color="auto" w:fill="FFF2CC"/>
          </w:tcPr>
          <w:p>
            <w:r>
              <w:t>WORKED EXAMPLE — 08-Mar-2026, 10:15 AM</w:t>
            </w:r>
          </w:p>
        </w:tc>
        <w:tc>
          <w:tcPr>
            <w:tcW w:type="dxa" w:w="1728"/>
            <w:shd w:val="clear" w:color="auto" w:fill="FFF2CC"/>
          </w:tcPr>
          <w:p>
            <w:r>
              <w:t>Deepa Nair / UID-00618</w:t>
            </w:r>
          </w:p>
        </w:tc>
        <w:tc>
          <w:tcPr>
            <w:tcW w:type="dxa" w:w="1728"/>
            <w:shd w:val="clear" w:color="auto" w:fill="FFF2CC"/>
          </w:tcPr>
          <w:p>
            <w:r>
              <w:t>Injection Tranexamic Acid 500mg IV stat</w:t>
            </w:r>
          </w:p>
        </w:tc>
        <w:tc>
          <w:tcPr>
            <w:tcW w:type="dxa" w:w="1728"/>
            <w:shd w:val="clear" w:color="auto" w:fill="FFF2CC"/>
          </w:tcPr>
          <w:p>
            <w:r>
              <w:t>Staff Nurse T. Fernandes</w:t>
            </w:r>
          </w:p>
        </w:tc>
        <w:tc>
          <w:tcPr>
            <w:tcW w:type="dxa" w:w="1728"/>
            <w:shd w:val="clear" w:color="auto" w:fill="FFF2CC"/>
          </w:tcPr>
          <w:p>
            <w:r>
              <w:t>Dr. Bose / 08-Mar-2026, 4:00 PM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