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MOM.6.c — The patient is identified before administration.</w:t>
      </w:r>
    </w:p>
    <w:p>
      <w:r>
        <w:t>MOM.6 Record 03 — Patient identification compliance audit</w:t>
      </w:r>
    </w:p>
    <w:p/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What is this record, in plain terms?</w:t>
              <w:br/>
              <w:t>This record is the proof the two identifiers were actually confirmed against the patient immediately before administration -- not assumed from the bed number.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A real example of when you'd use this</w:t>
              <w:br/>
              <w:t>The nurse asks the patient's name and checks the wristband UID before administering an oral medication, confirming both identifiers match the order.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Why does NABH ask for this?</w:t>
              <w:br/>
              <w:t>A medication given to the wrong patient is not a dosing error -- it is an entirely different patient receiving a treatment decision that was never made for them.</w:t>
            </w:r>
          </w:p>
        </w:tc>
      </w:tr>
    </w:tbl>
    <w:p/>
    <w:p>
      <w:r>
        <w:t>How to fill this in — column by column</w:t>
      </w:r>
    </w:p>
    <w:p>
      <w:r>
        <w:t>Date: Observation date.</w:t>
      </w:r>
    </w:p>
    <w:p>
      <w:r>
        <w:t>Patient (Identifier 1) / UID (Identifier 2): The patient observed.</w:t>
      </w:r>
    </w:p>
    <w:p>
      <w:r>
        <w:t>Both Identifiers Confirmed (Y/N): Result.</w:t>
      </w:r>
    </w:p>
    <w:p>
      <w:r>
        <w:t>Nurse Observed: Staff member.</w:t>
      </w:r>
    </w:p>
    <w:p>
      <w:r>
        <w:t>Observed By: Ward in-charge or Quality Coordinator.</w:t>
      </w:r>
    </w:p>
    <w:p>
      <w: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p/>
    <w:p>
      <w:r>
        <w:t>Where this requirement comes from (verified, clickable sources)</w:t>
      </w:r>
    </w:p>
    <w:p>
      <w:pPr>
        <w:pStyle w:val="ListParagraph"/>
      </w:pPr>
      <w:r>
        <w:t xml:space="preserve">• </w:t>
      </w:r>
      <w:r>
        <w:t xml:space="preserve">National Accreditation Board for Hospitals and Healthcare Providers. (2022). Standards for Small Healthcare Organisations (3rd ed.). </w:t>
      </w:r>
      <w:hyperlink r:id="rId9">
        <w:r>
          <w:rPr>
            <w:color w:val="0563C1"/>
            <w:u w:val="single"/>
          </w:rPr>
          <w:t>NABH SHCO Accreditation Programme page</w:t>
        </w:r>
      </w:hyperlink>
      <w:r>
        <w:t>. Management of Medication chapter, standard MOM.6.</w:t>
      </w:r>
    </w:p>
    <w:p/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Patient (Identifier 1) / UID (Identifier 2)</w:t>
            </w:r>
          </w:p>
        </w:tc>
        <w:tc>
          <w:tcPr>
            <w:tcW w:type="dxa" w:w="1728"/>
          </w:tcPr>
          <w:p>
            <w:r>
              <w:t>Both Identifiers Confirmed (Y/N)</w:t>
            </w:r>
          </w:p>
        </w:tc>
        <w:tc>
          <w:tcPr>
            <w:tcW w:type="dxa" w:w="1728"/>
          </w:tcPr>
          <w:p>
            <w:r>
              <w:t>Nurse Observed</w:t>
            </w:r>
          </w:p>
        </w:tc>
        <w:tc>
          <w:tcPr>
            <w:tcW w:type="dxa" w:w="1728"/>
          </w:tcPr>
          <w:p>
            <w:r>
              <w:t>Observed By</w:t>
            </w:r>
          </w:p>
        </w:tc>
      </w:tr>
      <w:tr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</w:tr>
      <w:tr>
        <w:tc>
          <w:tcPr>
            <w:tcW w:type="dxa" w:w="1728"/>
            <w:shd w:val="clear" w:color="auto" w:fill="FFF2CC"/>
          </w:tcPr>
          <w:p>
            <w:r>
              <w:t>WORKED EXAMPLE — 24-Apr-2026</w:t>
            </w:r>
          </w:p>
        </w:tc>
        <w:tc>
          <w:tcPr>
            <w:tcW w:type="dxa" w:w="1728"/>
            <w:shd w:val="clear" w:color="auto" w:fill="FFF2CC"/>
          </w:tcPr>
          <w:p>
            <w:r>
              <w:t>Mohan Das / UID-00759</w:t>
            </w:r>
          </w:p>
        </w:tc>
        <w:tc>
          <w:tcPr>
            <w:tcW w:type="dxa" w:w="1728"/>
            <w:shd w:val="clear" w:color="auto" w:fill="FFF2CC"/>
          </w:tcPr>
          <w:p>
            <w:r>
              <w:t>Y</w:t>
            </w:r>
          </w:p>
        </w:tc>
        <w:tc>
          <w:tcPr>
            <w:tcW w:type="dxa" w:w="1728"/>
            <w:shd w:val="clear" w:color="auto" w:fill="FFF2CC"/>
          </w:tcPr>
          <w:p>
            <w:r>
              <w:t>Staff Nurse P. Jacob</w:t>
            </w:r>
          </w:p>
        </w:tc>
        <w:tc>
          <w:tcPr>
            <w:tcW w:type="dxa" w:w="1728"/>
            <w:shd w:val="clear" w:color="auto" w:fill="FFF2CC"/>
          </w:tcPr>
          <w:p>
            <w:r>
              <w:t>Ward In-Charge Nurse</w:t>
            </w:r>
          </w:p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nabh.co/programmes/small-healthcare-organisation-shco-accreditation-programm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