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MOM.8.e — A proper record is kept of the usage, administration and disposal of narcotic drugs and psychotropic substances, chemotherapeutic agents and radioactive agents.</w:t>
      </w:r>
    </w:p>
    <w:p>
      <w:r>
        <w:t>MOM.8 Record 05 — Monthly register reconciliation summary (NDPS/cytotoxic/radioactive logs)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NDPS register, cytotoxic medication log and radioactive materials log are each reconciled monthly and summarised to the committee -- not kept as separate logs nobody cross-checks.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monthly reconciliation confirms the NDPS register balances match physical stock, the cytotoxic log accounts for all administered doses and their disposal, and the radioactive materials log matches AERB requirements.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gap anywhere in the chain -- procurement, issue, administration, disposal -- for a controlled substance is exactly the kind of gap a licensing inspection exists to find.</w:t>
            </w:r>
          </w:p>
        </w:tc>
      </w:tr>
    </w:tbl>
    <w:p/>
    <w:p>
      <w:r>
        <w:t>How to fill this in — column by column</w:t>
      </w:r>
    </w:p>
    <w:p>
      <w:r>
        <w:t>Reconciliation Month: Month covered.</w:t>
      </w:r>
    </w:p>
    <w:p>
      <w:r>
        <w:t>Register: NDPS, cytotoxic medication log, or radioactive materials log.</w:t>
      </w:r>
    </w:p>
    <w:p>
      <w:r>
        <w:t>Balances Match (Y/N): Result.</w:t>
      </w:r>
    </w:p>
    <w:p>
      <w:r>
        <w:t>Discrepancy (if any): What was found.</w:t>
      </w:r>
    </w:p>
    <w:p>
      <w:r>
        <w:t>Reconciled By / Presented To: Pharmacy In-Charge; committee.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MOM.8.</w:t>
      </w:r>
    </w:p>
    <w:p>
      <w:pPr>
        <w:pStyle w:val="ListParagraph"/>
      </w:pPr>
      <w:r>
        <w:t xml:space="preserve">• </w:t>
      </w:r>
      <w:r>
        <w:t xml:space="preserve">Government of India. (1985). </w:t>
      </w:r>
      <w:hyperlink r:id="rId10">
        <w:r>
          <w:rPr>
            <w:color w:val="0563C1"/>
            <w:u w:val="single"/>
          </w:rPr>
          <w:t>The Narcotic Drugs and Psychotropic Substances Act, 1985</w:t>
        </w:r>
      </w:hyperlink>
      <w:r>
        <w:t xml:space="preserve"> (Act No. 61 of 1985) — governs authorisation to prescribe, secure storage, register-keeping and disposal of narcotic drugs and psychotropic substances.</w:t>
      </w:r>
    </w:p>
    <w:p>
      <w:pPr>
        <w:pStyle w:val="ListParagraph"/>
      </w:pPr>
      <w:r>
        <w:t xml:space="preserve">• </w:t>
      </w:r>
      <w:r>
        <w:t>Government of India, Ministry of Environment, Forest and Climate Change. (2016, as amended). The Bio-Medical Waste Management Rules, 2016 — governs disposal of cytotoxic and other biomedical waste streams generated by medication use.</w:t>
      </w:r>
    </w:p>
    <w:p>
      <w:pPr>
        <w:pStyle w:val="ListParagraph"/>
      </w:pPr>
      <w:r>
        <w:t xml:space="preserve">• </w:t>
      </w:r>
      <w:r>
        <w:t xml:space="preserve">Government of India, Department of Atomic Energy. (2004). </w:t>
      </w:r>
      <w:hyperlink r:id="rId11">
        <w:r>
          <w:rPr>
            <w:color w:val="0563C1"/>
            <w:u w:val="single"/>
          </w:rPr>
          <w:t>The Atomic Energy (Radiation Protection) Rules, 2004</w:t>
        </w:r>
      </w:hyperlink>
      <w:r>
        <w:t xml:space="preserve"> (G.S.R. 303, notified 25 August 2004), administered by the Atomic Energy Regulatory Board (AERB) — governs authorisation, storage, dosimetry and disposal requirements for radioactive agents.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Reconciliation Month</w:t>
            </w:r>
          </w:p>
        </w:tc>
        <w:tc>
          <w:tcPr>
            <w:tcW w:type="dxa" w:w="1728"/>
          </w:tcPr>
          <w:p>
            <w:r>
              <w:t>Register</w:t>
            </w:r>
          </w:p>
        </w:tc>
        <w:tc>
          <w:tcPr>
            <w:tcW w:type="dxa" w:w="1728"/>
          </w:tcPr>
          <w:p>
            <w:r>
              <w:t>Balances Match (Y/N)</w:t>
            </w:r>
          </w:p>
        </w:tc>
        <w:tc>
          <w:tcPr>
            <w:tcW w:type="dxa" w:w="1728"/>
          </w:tcPr>
          <w:p>
            <w:r>
              <w:t>Discrepancy (if any)</w:t>
            </w:r>
          </w:p>
        </w:tc>
        <w:tc>
          <w:tcPr>
            <w:tcW w:type="dxa" w:w="1728"/>
          </w:tcPr>
          <w:p>
            <w:r>
              <w:t>Reconciled By / Presented To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May 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NDPS register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None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Pharmacy In-Charge / Multidisciplinary Medication Committee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bitstream/123456789/1791/5/a1985-61.pdf" TargetMode="External"/><Relationship Id="rId11" Type="http://schemas.openxmlformats.org/officeDocument/2006/relationships/hyperlink" Target="https://mgw3.aerb.gov.in/images/PDF/RPR200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