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MOM.8 — Any staff member who cannot confirm authorisation, register entry, PPE availability, or containment conditions for narcotics/psychotropics/chemotherapy/radioactive agents does not proceed, and secures the agent and reports it immediately.</w:t>
      </w:r>
    </w:p>
    <w:p>
      <w:r>
        <w:t>MOM.8 Record 06 — Stop-work and register-discrepancy investigation log</w:t>
      </w:r>
    </w:p>
    <w:p/>
    <w:p/>
    <w:p/>
    <w:tbl>
      <w:tblPr>
        <w:tblStyle w:val="TableGrid"/>
        <w:tblW w:type="auto" w:w="0"/>
        <w:tblLook w:firstColumn="1" w:firstRow="1" w:lastColumn="0" w:lastRow="0" w:noHBand="0" w:noVBand="1" w:val="04A0"/>
      </w:tblPr>
      <w:tblGrid>
        <w:gridCol w:w="8640"/>
      </w:tblGrid>
      <w:tr>
        <w:tc>
          <w:tcPr>
            <w:tcW w:type="dxa" w:w="8640"/>
          </w:tcPr>
          <w:p>
            <w:r>
              <w:t>What is this record, in plain terms?</w:t>
              <w:br/>
              <w:t>This record is the proof use of these agents was actually stopped the moment authorisation, register entry, PPE or containment could not be confirmed, and that any register discrepancy was investigated within 24 hours -- not proceeded with on an assumption.</w:t>
            </w:r>
          </w:p>
        </w:tc>
      </w:tr>
    </w:tbl>
    <w:p/>
    <w:tbl>
      <w:tblPr>
        <w:tblStyle w:val="TableGrid"/>
        <w:tblW w:type="auto" w:w="0"/>
        <w:tblLook w:firstColumn="1" w:firstRow="1" w:lastColumn="0" w:lastRow="0" w:noHBand="0" w:noVBand="1" w:val="04A0"/>
      </w:tblPr>
      <w:tblGrid>
        <w:gridCol w:w="8640"/>
      </w:tblGrid>
      <w:tr>
        <w:tc>
          <w:tcPr>
            <w:tcW w:type="dxa" w:w="8640"/>
          </w:tcPr>
          <w:p>
            <w:r>
              <w:t>A real example of when you'd use this</w:t>
              <w:br/>
              <w:t>A nurse cannot confirm the radioactive-agent access log has been signed and stops preparation, securing the agent and notifying the Pharmacy In-Charge immediately.</w:t>
            </w:r>
          </w:p>
        </w:tc>
      </w:tr>
    </w:tbl>
    <w:p/>
    <w:tbl>
      <w:tblPr>
        <w:tblStyle w:val="TableGrid"/>
        <w:tblW w:type="auto" w:w="0"/>
        <w:tblLook w:firstColumn="1" w:firstRow="1" w:lastColumn="0" w:lastRow="0" w:noHBand="0" w:noVBand="1" w:val="04A0"/>
      </w:tblPr>
      <w:tblGrid>
        <w:gridCol w:w="8640"/>
      </w:tblGrid>
      <w:tr>
        <w:tc>
          <w:tcPr>
            <w:tcW w:type="dxa" w:w="8640"/>
          </w:tcPr>
          <w:p>
            <w:r>
              <w:t>Why does NABH ask for this?</w:t>
              <w:br/>
              <w:t>Proceeding on any of these agents while authorisation, register entries, PPE, or containment cannot be confirmed is not a clinical judgment call -- it is a regulatory line nobody is permitted to cross alone.</w:t>
            </w:r>
          </w:p>
        </w:tc>
      </w:tr>
    </w:tbl>
    <w:p/>
    <w:p>
      <w:r>
        <w:t>How to fill this in — column by column</w:t>
      </w:r>
    </w:p>
    <w:p>
      <w:r>
        <w:t>Date/Time: When stopped.</w:t>
      </w:r>
    </w:p>
    <w:p>
      <w:r>
        <w:t>Agent / Category: What was involved.</w:t>
      </w:r>
    </w:p>
    <w:p>
      <w:r>
        <w:t>Reason Stopped: Authorisation, register, PPE, or containment issue.</w:t>
      </w:r>
    </w:p>
    <w:p>
      <w:r>
        <w:t>Secured By / Reported To: Staff member and who was notified.</w:t>
      </w:r>
    </w:p>
    <w:p>
      <w:r>
        <w:t>Investigation Completed (Date, within 24 hrs if register discrepancy): Outcome.</w:t>
      </w:r>
    </w:p>
    <w:p>
      <w: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p/>
    <w:p>
      <w:r>
        <w:t>Where this requirement comes from (verified, clickable sources)</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Management of Medication chapter, standard MOM.8.</w:t>
      </w:r>
    </w:p>
    <w:p/>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Date/Time</w:t>
            </w:r>
          </w:p>
        </w:tc>
        <w:tc>
          <w:tcPr>
            <w:tcW w:type="dxa" w:w="1728"/>
          </w:tcPr>
          <w:p>
            <w:r>
              <w:t>Agent / Category</w:t>
            </w:r>
          </w:p>
        </w:tc>
        <w:tc>
          <w:tcPr>
            <w:tcW w:type="dxa" w:w="1728"/>
          </w:tcPr>
          <w:p>
            <w:r>
              <w:t>Reason Stopped</w:t>
            </w:r>
          </w:p>
        </w:tc>
        <w:tc>
          <w:tcPr>
            <w:tcW w:type="dxa" w:w="1728"/>
          </w:tcPr>
          <w:p>
            <w:r>
              <w:t>Secured By / Reported To</w:t>
            </w:r>
          </w:p>
        </w:tc>
        <w:tc>
          <w:tcPr>
            <w:tcW w:type="dxa" w:w="1728"/>
          </w:tcPr>
          <w:p>
            <w:r>
              <w:t>Investigation Completed (Date, within 24 hrs if register discrepancy)</w:t>
            </w:r>
          </w:p>
        </w:tc>
      </w:tr>
      <w:tr>
        <w:tc>
          <w:tcPr>
            <w:tcW w:type="dxa" w:w="1728"/>
            <w:shd w:val="clear" w:color="auto" w:fill="FFF2CC"/>
          </w:tcPr>
          <w:p>
            <w:r/>
          </w:p>
        </w:tc>
        <w:tc>
          <w:tcPr>
            <w:tcW w:type="dxa" w:w="1728"/>
            <w:shd w:val="clear" w:color="auto" w:fill="FFF2CC"/>
          </w:tcPr>
          <w:p>
            <w:r/>
          </w:p>
        </w:tc>
        <w:tc>
          <w:tcPr>
            <w:tcW w:type="dxa" w:w="1728"/>
            <w:shd w:val="clear" w:color="auto" w:fill="FFF2CC"/>
          </w:tcPr>
          <w:p>
            <w:r/>
          </w:p>
        </w:tc>
        <w:tc>
          <w:tcPr>
            <w:tcW w:type="dxa" w:w="1728"/>
            <w:shd w:val="clear" w:color="auto" w:fill="FFF2CC"/>
          </w:tcPr>
          <w:p>
            <w:r/>
          </w:p>
        </w:tc>
        <w:tc>
          <w:tcPr>
            <w:tcW w:type="dxa" w:w="1728"/>
            <w:shd w:val="clear" w:color="auto" w:fill="FFF2CC"/>
          </w:tcPr>
          <w:p>
            <w:r/>
          </w:p>
        </w:tc>
      </w:tr>
      <w:tr>
        <w:tc>
          <w:tcPr>
            <w:tcW w:type="dxa" w:w="1728"/>
            <w:shd w:val="clear" w:color="auto" w:fill="FFF2CC"/>
          </w:tcPr>
          <w:p>
            <w:r>
              <w:t>WORKED EXAMPLE — 25-May-2026, 2:00 PM</w:t>
            </w:r>
          </w:p>
        </w:tc>
        <w:tc>
          <w:tcPr>
            <w:tcW w:type="dxa" w:w="1728"/>
            <w:shd w:val="clear" w:color="auto" w:fill="FFF2CC"/>
          </w:tcPr>
          <w:p>
            <w:r>
              <w:t>Radioactive agent (I-131)</w:t>
            </w:r>
          </w:p>
        </w:tc>
        <w:tc>
          <w:tcPr>
            <w:tcW w:type="dxa" w:w="1728"/>
            <w:shd w:val="clear" w:color="auto" w:fill="FFF2CC"/>
          </w:tcPr>
          <w:p>
            <w:r>
              <w:t>Access log not signed</w:t>
            </w:r>
          </w:p>
        </w:tc>
        <w:tc>
          <w:tcPr>
            <w:tcW w:type="dxa" w:w="1728"/>
            <w:shd w:val="clear" w:color="auto" w:fill="FFF2CC"/>
          </w:tcPr>
          <w:p>
            <w:r>
              <w:t>Nurse R. Iyer / Pharmacy In-Charge</w:t>
            </w:r>
          </w:p>
        </w:tc>
        <w:tc>
          <w:tcPr>
            <w:tcW w:type="dxa" w:w="1728"/>
            <w:shd w:val="clear" w:color="auto" w:fill="FFF2CC"/>
          </w:tcPr>
          <w:p>
            <w:r>
              <w:t>25-May-2026 — log corrected, no loss found</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