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Standard Operating Procedure</w:t>
      </w:r>
    </w:p>
    <w:p>
      <w:r>
        <w:rPr>
          <w:b/>
          <w:sz w:val="26"/>
        </w:rPr>
        <w:t>Identifying and Referring Service Limitations Outside the Hospital's Scope</w:t>
      </w:r>
    </w:p>
    <w:p>
      <w:r>
        <w:t>«Hospital Name» — Supports AAC.1.b</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this SOP exist? (read this first if you're new)</w:t>
            </w:r>
          </w:p>
          <w:p>
            <w:r>
              <w:rPr>
                <w:sz w:val="20"/>
              </w:rPr>
              <w:t>This SOP describes how «Hospital Name» identifies that a patient needs a diagnostic or treatment service that falls outside the hospital's defined scope of services (Record 7 — Service Limitation &amp; Referral Pathway), selects the correct external facility for that specific limitation, and confirms the facility will actually accept the patient. This SOP does not repeat the mechanics of the physical transfer itself — stabilisation, transport arrangement, clinical documentation and handover are covered once, in full, by the hospital's general Patient Transfer (In, Out) and Referral SOP under AAC.3, which this SOP hands off to once a facility is confirmed. If you're new to this SOP, the short version is: follow the numbered steps below in order — they exist because skipping one of them is exactly how a real gap or a real patient-safety problem happens, not because NABH likes paperwork for its own sake.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SOP No.</w:t>
            </w:r>
          </w:p>
        </w:tc>
        <w:tc>
          <w:tcPr>
            <w:tcW w:type="dxa" w:w="2420"/>
          </w:tcPr>
          <w:p>
            <w:r/>
            <w:r>
              <w:rPr>
                <w:b w:val="0"/>
                <w:sz w:val="20"/>
              </w:rPr>
              <w:t>[Hospital to define]</w:t>
            </w:r>
          </w:p>
        </w:tc>
        <w:tc>
          <w:tcPr>
            <w:tcW w:type="dxa" w:w="2420"/>
            <w:shd w:val="clear" w:fill="D9E2F3"/>
          </w:tcPr>
          <w:p>
            <w:r/>
            <w:r>
              <w:rPr>
                <w:b/>
                <w:sz w:val="20"/>
              </w:rPr>
              <w:t>Version</w:t>
            </w:r>
          </w:p>
        </w:tc>
        <w:tc>
          <w:tcPr>
            <w:tcW w:type="dxa" w:w="2420"/>
          </w:tcPr>
          <w:p>
            <w:r/>
            <w:r>
              <w:rPr>
                <w:b w:val="0"/>
                <w:sz w:val="20"/>
              </w:rPr>
              <w:t>1.0</w:t>
            </w:r>
          </w:p>
        </w:tc>
      </w:tr>
      <w:tr>
        <w:tc>
          <w:tcPr>
            <w:tcW w:type="dxa" w:w="2420"/>
            <w:shd w:val="clear" w:fill="D9E2F3"/>
          </w:tcPr>
          <w:p>
            <w:r/>
            <w:r>
              <w:rPr>
                <w:b/>
                <w:sz w:val="20"/>
              </w:rPr>
              <w:t>Effective Date</w:t>
            </w:r>
          </w:p>
        </w:tc>
        <w:tc>
          <w:tcPr>
            <w:tcW w:type="dxa" w:w="2420"/>
          </w:tcPr>
          <w:p>
            <w:r/>
            <w:r>
              <w:rPr>
                <w:b w:val="0"/>
                <w:sz w:val="20"/>
              </w:rPr>
              <w:t>________</w:t>
            </w:r>
          </w:p>
        </w:tc>
        <w:tc>
          <w:tcPr>
            <w:tcW w:type="dxa" w:w="2420"/>
            <w:shd w:val="clear" w:fill="D9E2F3"/>
          </w:tcPr>
          <w:p>
            <w:r/>
            <w:r>
              <w:rPr>
                <w:b/>
                <w:sz w:val="20"/>
              </w:rPr>
              <w:t>Review Frequency</w:t>
            </w:r>
          </w:p>
        </w:tc>
        <w:tc>
          <w:tcPr>
            <w:tcW w:type="dxa" w:w="2420"/>
          </w:tcPr>
          <w:p>
            <w:r/>
            <w:r>
              <w:rPr>
                <w:b w:val="0"/>
                <w:sz w:val="20"/>
              </w:rPr>
              <w:t>Annual, or on change</w:t>
            </w:r>
          </w:p>
        </w:tc>
      </w:tr>
      <w:tr>
        <w:tc>
          <w:tcPr>
            <w:tcW w:type="dxa" w:w="2420"/>
            <w:shd w:val="clear" w:fill="D9E2F3"/>
          </w:tcPr>
          <w:p>
            <w:r/>
            <w:r>
              <w:rPr>
                <w:b/>
                <w:sz w:val="20"/>
              </w:rPr>
              <w:t>Prepared By</w:t>
            </w:r>
          </w:p>
        </w:tc>
        <w:tc>
          <w:tcPr>
            <w:tcW w:type="dxa" w:w="7260"/>
            <w:gridSpan w:val="3"/>
          </w:tcPr>
          <w:p>
            <w:r/>
            <w:r>
              <w:rPr>
                <w:b w:val="0"/>
                <w:sz w:val="20"/>
              </w:rPr>
              <w:t>Quality Coordinator   Name: ________   Signature: ________</w:t>
            </w:r>
          </w:p>
        </w:tc>
      </w:tr>
      <w:tr>
        <w:tc>
          <w:tcPr>
            <w:tcW w:type="dxa" w:w="2420"/>
            <w:shd w:val="clear" w:fill="D9E2F3"/>
          </w:tcPr>
          <w:p>
            <w:r/>
            <w:r>
              <w:rPr>
                <w:b/>
                <w:sz w:val="20"/>
              </w:rPr>
              <w:t>Approved By</w:t>
            </w:r>
          </w:p>
        </w:tc>
        <w:tc>
          <w:tcPr>
            <w:tcW w:type="dxa" w:w="7260"/>
            <w:gridSpan w:val="3"/>
          </w:tcPr>
          <w:p>
            <w:r/>
            <w:r>
              <w:rPr>
                <w:b w:val="0"/>
                <w:sz w:val="20"/>
              </w:rPr>
              <w:t>Medical Superintendent   Name: ________   Signature: ________</w:t>
            </w:r>
          </w:p>
        </w:tc>
      </w:tr>
    </w:tbl>
    <w:p>
      <w:pPr>
        <w:pStyle w:val="Heading1"/>
      </w:pPr>
      <w:r>
        <w:t>1. Purpose</w:t>
      </w:r>
    </w:p>
    <w:p>
      <w:r>
        <w:t>This SOP describes how «Hospital Name» identifies that a patient needs a diagnostic or treatment service that falls outside the hospital's defined scope of services (Record 7 — Service Limitation &amp; Referral Pathway), selects the correct external facility for that specific limitation, and confirms the facility will actually accept the patient. This SOP does not repeat the mechanics of the physical transfer itself — stabilisation, transport arrangement, clinical documentation and handover are covered once, in full, by the hospital's general Patient Transfer (In, Out) and Referral SOP under AAC.3, which this SOP hands off to once a facility is confirmed.</w:t>
      </w:r>
    </w:p>
    <w:p>
      <w:pPr>
        <w:pStyle w:val="Heading1"/>
      </w:pPr>
      <w:r>
        <w:t>2. Scope</w:t>
      </w:r>
    </w:p>
    <w:p>
      <w:r>
        <w:t>Applies whenever a patient needs a service that AAC.1's defined scope of services does not provide, matching one of the limitations listed in Record 7. Once the referral facility is identified and has confirmed acceptance, the AAC.3 Patient Transfer SOP takes over for the physical transfer.</w:t>
      </w:r>
    </w:p>
    <w:p>
      <w:pPr>
        <w:pStyle w:val="Heading1"/>
      </w:pPr>
      <w:r>
        <w:t>3. Responsibility</w:t>
      </w:r>
    </w:p>
    <w:p>
      <w:r>
        <w:t xml:space="preserve">Treating Doctor: </w:t>
      </w:r>
      <w:r>
        <w:t>confirms the required service is a listed scope limitation, identifies the correct referral pathway from Record 7, and hands off to the AAC.3 transfer process once a facility accepts the patient.</w:t>
      </w:r>
    </w:p>
    <w:p>
      <w:r>
        <w:t xml:space="preserve">Medical Superintendent: </w:t>
      </w:r>
      <w:r>
        <w:t>is informed of any situation not already covered by a defined pathway in Record 7, and resolves any receiving-facility refusal specific to a scope-limitation referral.</w:t>
      </w:r>
    </w:p>
    <w:p>
      <w:pPr>
        <w:pStyle w:val="Heading1"/>
      </w:pPr>
      <w:r>
        <w:t>4. Procedure</w:t>
      </w:r>
    </w:p>
    <w:p>
      <w:pPr>
        <w:pStyle w:val="Heading2"/>
      </w:pPr>
      <w:r>
        <w:t>4.1 Identifying the limitation and matching pathway</w:t>
      </w:r>
    </w:p>
    <w:p>
      <w:r>
        <w:rPr>
          <w:b/>
          <w:i/>
        </w:rPr>
        <w:t xml:space="preserve">Why this step matters: </w:t>
      </w:r>
      <w:r>
        <w:rPr>
          <w:i/>
        </w:rPr>
        <w:t>Referring to the wrong facility, or without confirming the pathway in Record 7, can delay care the patient needs on top of the original limitation.</w:t>
      </w:r>
    </w:p>
    <w:p>
      <w:r>
        <w:t>1. The treating doctor confirms the required service is listed as a defined limitation in Record 7, and identifies the referral pathway and facility named for that limitation.</w:t>
      </w:r>
    </w:p>
    <w:p>
      <w:r>
        <w:t>2. Where the situation is not already covered by a defined pathway in Record 7, the treating doctor selects the nearest appropriate facility and informs the Medical Superintendent before proceeding, except where delay would endanger the patient — and flags the gap so Record 7 can be updated with the new pathway.</w:t>
      </w:r>
    </w:p>
    <w:p>
      <w:pPr>
        <w:pStyle w:val="Heading2"/>
      </w:pPr>
      <w:r>
        <w:t>4.2 Confirming the receiving facility</w:t>
      </w:r>
    </w:p>
    <w:p>
      <w:r>
        <w:rPr>
          <w:b/>
          <w:i/>
        </w:rPr>
        <w:t xml:space="preserve">Why this step matters: </w:t>
      </w:r>
      <w:r>
        <w:rPr>
          <w:i/>
        </w:rPr>
        <w:t>Referring a patient to a facility that then turns them away, or can't actually treat their condition, undoes the whole point of referring them in the first place.</w:t>
      </w:r>
    </w:p>
    <w:p>
      <w:r>
        <w:t>1. Before finalising the referral, confirm directly with the receiving facility that it can actually treat the patient's specific condition and is willing to accept the patient — do not rely on assumption or a general reputation for the service.</w:t>
      </w:r>
    </w:p>
    <w:p>
      <w:r>
        <w:t>2. Where the receiving facility declines, escalate immediately to the Medical Superintendent and select an alternative facility per Record 7 or the nearest appropriate alternative.</w:t>
      </w:r>
    </w:p>
    <w:p>
      <w:pPr>
        <w:pStyle w:val="Heading2"/>
      </w:pPr>
      <w:r>
        <w:t>4.3 Handing off to the transfer process</w:t>
      </w:r>
    </w:p>
    <w:p>
      <w:r>
        <w:rPr>
          <w:b/>
          <w:i/>
        </w:rPr>
        <w:t xml:space="preserve">Why this step matters: </w:t>
      </w:r>
      <w:r>
        <w:rPr>
          <w:i/>
        </w:rPr>
        <w:t>Treating the referral and the transfer as two separate, disconnected steps is how a patient falls through the gap between them.</w:t>
      </w:r>
    </w:p>
    <w:p>
      <w:r>
        <w:t>1. Once the receiving facility has confirmed acceptance, the treating doctor initiates the hospital's general Patient Transfer (In, Out) and Referral SOP (AAC.3) for stabilisation, documentation, transport, and handover — this SOP does not duplicate those steps.</w:t>
      </w:r>
    </w:p>
    <w:p>
      <w:r>
        <w:t>2. Record which service-limitation pathway was used and which facility accepted the patient in the Service Limitation Referral Log (Record 14), cross-referenced to the AAC.3 transfer record covering the same episode.</w:t>
      </w:r>
    </w:p>
    <w:p>
      <w:pPr>
        <w:pStyle w:val="Heading1"/>
      </w:pPr>
      <w:r>
        <w:t>5. Records</w:t>
      </w:r>
    </w:p>
    <w:p>
      <w:r>
        <w:t>This SOP produces the Service Limitation Referral Log (Record 14), which records which limitation and pathway from Record 7 was used and which facility accepted the patient. The physical transfer itself is logged under the AAC.3 Patient Transfer SOP's own records, not duplicated here.</w:t>
      </w:r>
    </w:p>
    <w:p>
      <w:pPr>
        <w:pStyle w:val="Heading1"/>
      </w:pPr>
      <w:r>
        <w:t>6. Related Documents</w:t>
      </w:r>
    </w:p>
    <w:p>
      <w:pPr>
        <w:pStyle w:val="ListParagraph"/>
      </w:pPr>
      <w:r>
        <w:t>Policy on Defined and Displayed Healthcare Services (HCO/AAC/POL/01) — AAC.1 policy (this SOP supports AAC.1.b)</w:t>
      </w:r>
    </w:p>
    <w:p>
      <w:pPr>
        <w:pStyle w:val="ListParagraph"/>
      </w:pPr>
      <w:r>
        <w:t>AAC.1 Required Records — Record 7: Service Limitation &amp; Referral Pathway</w:t>
      </w:r>
    </w:p>
    <w:p>
      <w:pPr>
        <w:pStyle w:val="ListParagraph"/>
      </w:pPr>
      <w:r>
        <w:t>AAC.1 Required Records — Record 14: Service Limitation Referral Log</w:t>
      </w:r>
    </w:p>
    <w:p>
      <w:pPr>
        <w:pStyle w:val="ListParagraph"/>
      </w:pPr>
      <w:r>
        <w:t>Policy on Transfer In, Transfer Out and Referral (HCO/AAC/POL/03) — AAC.3 policy and its Patient Transfer (In, Out) and Referral SOP — used for the physical transfer once a facility accepts the patient</w:t>
      </w:r>
    </w:p>
    <w:p>
      <w:pPr>
        <w:pStyle w:val="Heading1"/>
      </w:pPr>
      <w:r>
        <w:t>7. Where This SOP's Requirements Come From (Verified Sources)</w:t>
      </w:r>
    </w:p>
    <w:p>
      <w:pPr>
        <w:pStyle w:val="ListParagraph"/>
      </w:pPr>
      <w:hyperlink r:id="rId9">
        <w:r>
          <w:rPr>
            <w:color w:val="0563C1"/>
            <w:u w:val="single"/>
          </w:rPr>
          <w:t>National Accreditation Board for Hospitals and Healthcare Providers. (2025). NABH accreditation standards for hospitals (6th ed.). ISBN 978-81-965264-9-8.</w:t>
        </w:r>
      </w:hyperlink>
    </w:p>
    <w:p>
      <w:pPr>
        <w:pStyle w:val="ListParagraph"/>
      </w:pPr>
      <w:hyperlink r:id="rId10">
        <w:r>
          <w:rPr>
            <w:color w:val="0563C1"/>
            <w:u w:val="single"/>
          </w:rPr>
          <w:t>ACEP — Appropriate Interfacility Patient Transfer (policy statement, 2022)</w:t>
        </w:r>
      </w:hyperlink>
    </w:p>
    <w:p>
      <w:pPr>
        <w:pStyle w:val="Heading1"/>
      </w:pPr>
      <w:r>
        <w:t>8. Review</w:t>
      </w:r>
    </w:p>
    <w:p>
      <w:r>
        <w:t>This SOP is reviewed annually, or immediately if a scope-limitation referral reveals a gap in Record 7's defined pathways.</w:t>
      </w:r>
    </w:p>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ortal.nabh.co/images/Standards/NABH%20Hospital%20Accreditation%20Standard%206th%20Edition%20January%202025.pdf" TargetMode="External"/><Relationship Id="rId10" Type="http://schemas.openxmlformats.org/officeDocument/2006/relationships/hyperlink" Target="https://www.acep.org/patient-care/policy-statements/appropriate-interfacility-patient-transf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