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Standardised Hand-Over Communication</w:t>
      </w:r>
    </w:p>
    <w:p>
      <w:r>
        <w:t>«Hospital Name» — Supports AAC.10.d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conducts and documents hand-over between shifts, between units, and during transfers — so no clinical information is lost when responsibility changes.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conducts and documents hand-over between shifts, between units, and during transfers — so no clinical information is lost when responsibility changes.</w:t>
      </w:r>
    </w:p>
    <w:p>
      <w:pPr>
        <w:pStyle w:val="Heading1"/>
      </w:pPr>
      <w:r>
        <w:t>2. Scope</w:t>
      </w:r>
    </w:p>
    <w:p>
      <w:r>
        <w:t>Applies to every doctor and nurse providing direct patient care, at every shift change, unit change, or transfer.</w:t>
      </w:r>
    </w:p>
    <w:p>
      <w:pPr>
        <w:pStyle w:val="Heading1"/>
      </w:pPr>
      <w:r>
        <w:t>3. Responsibility</w:t>
      </w:r>
    </w:p>
    <w:p>
      <w:r>
        <w:t xml:space="preserve">Outgoing Staff: </w:t>
      </w:r>
      <w:r>
        <w:t>gives a complete, documented hand-over before leaving.</w:t>
      </w:r>
    </w:p>
    <w:p>
      <w:r>
        <w:t xml:space="preserve">Incoming Staff: </w:t>
      </w:r>
      <w:r>
        <w:t>acknowledges the hand-over and asks questions before taking over.</w:t>
      </w:r>
    </w:p>
    <w:p>
      <w:pPr>
        <w:pStyle w:val="Heading1"/>
      </w:pPr>
      <w:r>
        <w:t>4. Procedure</w:t>
      </w:r>
    </w:p>
    <w:p>
      <w:r>
        <w:rPr>
          <w:b/>
          <w:i/>
        </w:rPr>
        <w:t xml:space="preserve">Why this step matters: </w:t>
      </w:r>
      <w:r>
        <w:rPr>
          <w:i/>
        </w:rPr>
        <w:t>Information lost at hand-over is information the next shift has no way to recover — this is where care most often breaks down between teams.</w:t>
      </w:r>
    </w:p>
    <w:p>
      <w:r>
        <w:t>1. Use the hospital's standardised hand-over framework (e.g. SBAR — Situation, Background, Assessment, Recommendation) for every hand-over, without exception. SBAR is recognised by the Institute for Healthcare Improvement, The Joint Commission, AHRQ, and WHO as an effective handoff communication tool — see Section 8, Reference 1.</w:t>
      </w:r>
    </w:p>
    <w:p>
      <w:r>
        <w:t>2. Document the hand-over in the patient record — key clinical points, pending tasks, and any concern flagged during the shift.</w:t>
      </w:r>
    </w:p>
    <w:p>
      <w:r>
        <w:t>3. The incoming clinician acknowledges the hand-over was received and understood, before the outgoing clinician leaves.</w:t>
      </w:r>
    </w:p>
    <w:p>
      <w:r>
        <w:t>4. For a transfer between units or departments, the receiving team documents acknowledgement of takeover, not just receipt.</w:t>
      </w:r>
    </w:p>
    <w:p>
      <w:r>
        <w:t>5. Never let a hand-over proceed undocumented or without acknowledgement — this is a CORE requirement with no exception.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Institute for Healthcare Improvement. (n.d.). SBAR tool: Situation-Background-Assessment-Recommendation.</w:t>
        </w:r>
      </w:hyperlink>
    </w:p>
    <w:p>
      <w:pPr>
        <w:pStyle w:val="ListParagraph"/>
      </w:pPr>
      <w:hyperlink r:id="rId10">
        <w:r>
          <w:rPr>
            <w:color w:val="0563C1"/>
            <w:u w:val="single"/>
          </w:rPr>
          <w:t>World Health Organization. (2007). Communication during patient hand-overs (Patient Safety Solutions, Vol. 1, Solution 3).</w:t>
        </w:r>
      </w:hyperlink>
    </w:p>
    <w:p>
      <w:pPr>
        <w:pStyle w:val="Heading1"/>
      </w:pPr>
      <w:r>
        <w:t>5. Records</w:t>
      </w:r>
    </w:p>
    <w:p>
      <w:r>
        <w:t>Supported by Records 6–7 of the AAC.10 Required Records pack.</w:t>
      </w:r>
    </w:p>
    <w:p>
      <w:pPr>
        <w:pStyle w:val="Heading1"/>
      </w:pPr>
      <w:r>
        <w:t>6. Related Documents</w:t>
      </w:r>
    </w:p>
    <w:p>
      <w:pPr>
        <w:pStyle w:val="ListParagraph"/>
      </w:pPr>
      <w:r>
        <w:t>Policy on Continuous and Multi-Disciplinary Patient Care (HCO/AAC/POL/10) — AAC.10 policy</w:t>
      </w:r>
    </w:p>
    <w:p>
      <w:pPr>
        <w:pStyle w:val="Heading1"/>
      </w:pPr>
      <w:r>
        <w:t>7. Where This SOP's Requirements Come From (Verified Sources)</w:t>
      </w:r>
    </w:p>
    <w:p>
      <w:pPr>
        <w:pStyle w:val="ListParagraph"/>
      </w:pPr>
      <w:hyperlink r:id="rId11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12">
        <w:r>
          <w:rPr>
            <w:color w:val="0563C1"/>
            <w:u w:val="single"/>
          </w:rPr>
          <w:t>IHI — Patient Safety Essentials Toolkit: SBAR Tool</w:t>
        </w:r>
      </w:hyperlink>
    </w:p>
    <w:p>
      <w:pPr>
        <w:pStyle w:val="Heading1"/>
      </w:pPr>
      <w:r>
        <w:t>8. Review</w:t>
      </w:r>
    </w:p>
    <w:p>
      <w:r>
        <w:t>Reviewed annually.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hi.org/library/tools/sbar-tool-situation-background-assessment-recommendation" TargetMode="External"/><Relationship Id="rId10" Type="http://schemas.openxmlformats.org/officeDocument/2006/relationships/hyperlink" Target="https://cdn.who.int/media/docs/default-source/patient-safety/patient-safety-solutions/ps-solution3-communication-during-patient-handovers.pdf" TargetMode="External"/><Relationship Id="rId11" Type="http://schemas.openxmlformats.org/officeDocument/2006/relationships/hyperlink" Target="https://portal.nabh.co/images/Standards/NABH%20Hospital%20Accreditation%20Standard%206th%20Edition%20January%202025.pdf" TargetMode="External"/><Relationship Id="rId12" Type="http://schemas.openxmlformats.org/officeDocument/2006/relationships/hyperlink" Target="https://www.ihi.org/library/tools/patient-safety-essentials-toolk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