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Safe Internal Patient Transfer</w:t>
      </w:r>
    </w:p>
    <w:p>
      <w:r>
        <w:t>«Hospital Name» — Supports AAC.10.e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transfers patients safely between units, wards, or to imaging within the organisation.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transfers patients safely between units, wards, or to imaging within the organisation.</w:t>
      </w:r>
    </w:p>
    <w:p>
      <w:pPr>
        <w:pStyle w:val="Heading1"/>
      </w:pPr>
      <w:r>
        <w:t>2. Scope</w:t>
      </w:r>
    </w:p>
    <w:p>
      <w:r>
        <w:t>Applies to every internal transfer — between wards, to ICU, to imaging, or between any two units within the hospital.</w:t>
      </w:r>
    </w:p>
    <w:p>
      <w:pPr>
        <w:pStyle w:val="Heading1"/>
      </w:pPr>
      <w:r>
        <w:t>3. Responsibility</w:t>
      </w:r>
    </w:p>
    <w:p>
      <w:r>
        <w:t xml:space="preserve">Transferring and Receiving Staff: </w:t>
      </w:r>
      <w:r>
        <w:t>complete documented hand-over and takeover for every internal transfer.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transfer without a documented hand-over and takeover acknowledgement leaves no one clearly responsible for the patient in the gap between teams.</w:t>
      </w:r>
    </w:p>
    <w:p>
      <w:r>
        <w:t>1. Document the reason for transfer, the patient's clinical status, and the time of transfer.</w:t>
      </w:r>
    </w:p>
    <w:p>
      <w:r>
        <w:t>2. Complete a documented hand-over to the receiving team, and obtain documented takeover acknowledgement.</w:t>
      </w:r>
    </w:p>
    <w:p>
      <w:r>
        <w:t>3. For an unstable patient being transferred — including to imaging — assign accompanying staff and monitoring equipment appropriate to the patient's condition, so imaging is never delayed for lack of transport arrangement.</w:t>
      </w:r>
    </w:p>
    <w:p>
      <w:r>
        <w:t>4. Transport every patient in a safe and timely manner, minimising wait and transfer time.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(2007). Communication during patient hand-overs (Patient Safety Solutions, Vol. 1, Solution 3).</w:t>
        </w:r>
      </w:hyperlink>
    </w:p>
    <w:p>
      <w:pPr>
        <w:pStyle w:val="Heading1"/>
      </w:pPr>
      <w:r>
        <w:t>5. Records</w:t>
      </w:r>
    </w:p>
    <w:p>
      <w:r>
        <w:t>Supported by Records 8–9 of the AAC.10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Continuous and Multi-Disciplinary Patient Care (HCO/AAC/POL/10) — AAC.10 policy</w:t>
      </w:r>
    </w:p>
    <w:p>
      <w:pPr>
        <w:pStyle w:val="ListParagraph"/>
      </w:pPr>
      <w:r>
        <w:t>SOP — Patient Transfer (In, Out) and Referral (AAC.3, for external transfers)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n.who.int/media/docs/default-source/patient-safety/patient-safety-solutions/ps-solution3-communication-during-patient-handovers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