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Preventive Screening, Immunisation Advice and Referral</w:t>
      </w:r>
    </w:p>
    <w:p>
      <w:r>
        <w:t>«Hospital Name» — Supports AAC.11.b, AAC.11.c, AAC.11.d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screens patients for non-communicable diseases and mental health concerns, advises immunisation, and refers or intervenes on a positive finding.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screens patients for non-communicable diseases and mental health concerns, advises immunisation, and refers or intervenes on a positive finding.</w:t>
      </w:r>
    </w:p>
    <w:p>
      <w:pPr>
        <w:pStyle w:val="Heading1"/>
      </w:pPr>
      <w:r>
        <w:t>2. Scope</w:t>
      </w:r>
    </w:p>
    <w:p>
      <w:r>
        <w:t>Applies to treating doctors, nurses, and clinical staff delivering preventive and promotive health services within the hospital's defined scope.</w:t>
      </w:r>
    </w:p>
    <w:p>
      <w:pPr>
        <w:pStyle w:val="Heading1"/>
      </w:pPr>
      <w:r>
        <w:t>3. Responsibility</w:t>
      </w:r>
    </w:p>
    <w:p>
      <w:r>
        <w:t xml:space="preserve">Treating Doctor / Nurse: </w:t>
      </w:r>
      <w:r>
        <w:t>applies screening criteria, advises the patient, and documents the outcome.</w:t>
      </w:r>
    </w:p>
    <w:p>
      <w:r>
        <w:t xml:space="preserve">Referring Clinician: </w:t>
      </w:r>
      <w:r>
        <w:t>refers a positive screen for appropriate intervention.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Non-communicable disease screening</w:t>
      </w:r>
    </w:p>
    <w:p>
      <w:r>
        <w:rPr>
          <w:b/>
          <w:i/>
        </w:rPr>
        <w:t xml:space="preserve">Why this step matters: </w:t>
      </w:r>
      <w:r>
        <w:rPr>
          <w:i/>
        </w:rPr>
        <w:t>A missed NCD screen is a missed early-detection opportunity — by the time symptoms appear on their own, the disease has often progressed.</w:t>
      </w:r>
    </w:p>
    <w:p>
      <w:r>
        <w:t>1. Apply the hospital's defined, age-appropriate NCD screening criteria for the patient's age and risk profile.</w:t>
      </w:r>
    </w:p>
    <w:p>
      <w:r>
        <w:t>2. Document whether screening was advised, and whether the patient accepted or declined it.</w:t>
      </w:r>
    </w:p>
    <w:p>
      <w:pPr>
        <w:pStyle w:val="Heading2"/>
      </w:pPr>
      <w:r>
        <w:t>4.2 Mental health screening</w:t>
      </w:r>
    </w:p>
    <w:p>
      <w:r>
        <w:rPr>
          <w:b/>
          <w:i/>
        </w:rPr>
        <w:t xml:space="preserve">Why this step matters: </w:t>
      </w:r>
      <w:r>
        <w:rPr>
          <w:i/>
        </w:rPr>
        <w:t>A positive mental-health screen left without a documented next step is, in practice, the same as never having screened at all.</w:t>
      </w:r>
    </w:p>
    <w:p>
      <w:r>
        <w:t>1. Use a validated screening tool (e.g. PHQ-9) where applicable and available. The PHQ-9 is a validated 9-item depression screening tool — see Section 8, Reference 1.</w:t>
      </w:r>
    </w:p>
    <w:p>
      <w:r>
        <w:t>2. On a positive screen, document appropriate advice, referral, or intervention — never leave a positive screen without a documented next step.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Kroenke, K., Spitzer, R. L., &amp; Williams, J. B. W. (2001). The PHQ-9: Validity of a brief depression severity measure. Journal of General Internal Medicine, 16(9), 606–613.</w:t>
        </w:r>
      </w:hyperlink>
    </w:p>
    <w:p>
      <w:pPr>
        <w:pStyle w:val="Heading2"/>
      </w:pPr>
      <w:r>
        <w:t>4.3 Immunisation</w:t>
      </w:r>
    </w:p>
    <w:p>
      <w:r>
        <w:rPr>
          <w:b/>
          <w:i/>
        </w:rPr>
        <w:t xml:space="preserve">Why this step matters: </w:t>
      </w:r>
      <w:r>
        <w:rPr>
          <w:i/>
        </w:rPr>
        <w:t>A missed or delayed dose on the immunisation schedule is not easily made up later — timeliness is part of what makes the schedule effective.</w:t>
      </w:r>
    </w:p>
    <w:p>
      <w:r>
        <w:t>1. Follow the Universal Immunisation Programme schedule for every neonate and paediatric patient, including catch-up doses for missed vaccines — see Section 8, Reference 2.</w:t>
      </w:r>
    </w:p>
    <w:p>
      <w:r>
        <w:t>2. Advise evidence-based adult immunisation where applicable, and document whether it was administered.</w:t>
      </w:r>
    </w:p>
    <w:p>
      <w:r>
        <w:t>3. Log every immunisation given in the immunisation register.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Ministry of Health and Family Welfare, Government of India. (n.d.). Universal Immunization Programme (UIP).</w:t>
        </w:r>
      </w:hyperlink>
    </w:p>
    <w:p>
      <w:pPr>
        <w:pStyle w:val="Heading1"/>
      </w:pPr>
      <w:r>
        <w:t>5. Records</w:t>
      </w:r>
    </w:p>
    <w:p>
      <w:r>
        <w:t>Supported by Records 2–8 of the AAC.11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Preventive and Promotive Health Services (HCO/AAC/POL/11) — AAC.11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Kroenke, Spitzer &amp; Williams (2001) — The PHQ-9: Validity of a Brief Depression Severity Measure</w:t>
        </w:r>
      </w:hyperlink>
    </w:p>
    <w:p>
      <w:pPr>
        <w:pStyle w:val="ListParagraph"/>
      </w:pPr>
      <w:hyperlink r:id="rId13">
        <w:r>
          <w:rPr>
            <w:color w:val="0563C1"/>
            <w:u w:val="single"/>
          </w:rPr>
          <w:t>Ministry of Health and Family Welfare, Government of India — Universal Immunisation Programme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c.ncbi.nlm.nih.gov/articles/PMC1495268" TargetMode="External"/><Relationship Id="rId10" Type="http://schemas.openxmlformats.org/officeDocument/2006/relationships/hyperlink" Target="https://main.mohfw.gov.in/Major-Programmes/universal-immunization-programme-uip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doi.org/10.1046/j.1525-1497.2001.016009606.x" TargetMode="External"/><Relationship Id="rId13" Type="http://schemas.openxmlformats.org/officeDocument/2006/relationships/hyperlink" Target="https://www.nhp.gov.in/universal-immunisation-programme_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