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Clinical Priority Identification in OPD and Diagnostic Queues</w:t>
      </w:r>
    </w:p>
    <w:p>
      <w:r>
        <w:t>«Hospital Name» — Supports AAC.2.e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SOP describes how «Hospital Name» identifies patients who need an earlier response in OPD and diagnostic queues, and ensures they are seen promptly. If you're new to this SOP, the short version is: follow the numbered steps below in order — they exist because skipping one of them is exactly how a real gap or a real patient-safety problem happens, not because NABH likes paperwork for its own sake.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identifies patients who need an earlier response in OPD and diagnostic queues, and ensures they are seen promptly.</w:t>
      </w:r>
    </w:p>
    <w:p>
      <w:pPr>
        <w:pStyle w:val="Heading1"/>
      </w:pPr>
      <w:r>
        <w:t>2. Scope</w:t>
      </w:r>
    </w:p>
    <w:p>
      <w:r>
        <w:t>Applies to all OPD reception, triage, and diagnostic-service staff who manage patient queues.</w:t>
      </w:r>
    </w:p>
    <w:p>
      <w:pPr>
        <w:pStyle w:val="Heading1"/>
      </w:pPr>
      <w:r>
        <w:t>3. Responsibility</w:t>
      </w:r>
    </w:p>
    <w:p>
      <w:r>
        <w:t xml:space="preserve">OPD Reception / Triage Staff: </w:t>
      </w:r>
      <w:r>
        <w:t>identify and mark patients needing earlier response.</w:t>
      </w:r>
    </w:p>
    <w:p>
      <w:r>
        <w:t xml:space="preserve">Nursing Superintendent: </w:t>
      </w:r>
      <w:r>
        <w:t>orients queue and diagnostic staff to the priority guidelines.</w:t>
      </w:r>
    </w:p>
    <w:p>
      <w:pPr>
        <w:pStyle w:val="Heading1"/>
      </w:pPr>
      <w:r>
        <w:t>4. Procedure</w:t>
      </w:r>
    </w:p>
    <w:p>
      <w:r>
        <w:rPr>
          <w:b/>
          <w:i/>
        </w:rPr>
        <w:t xml:space="preserve">Why this step matters: </w:t>
      </w:r>
      <w:r>
        <w:rPr>
          <w:i/>
        </w:rPr>
        <w:t>A deteriorating patient left in the ordinary queue, with no visual flag applied, can wait behind cases that are far less urgent.</w:t>
      </w:r>
    </w:p>
    <w:p>
      <w:r>
        <w:t>1. Apply the hospital's written clinical-priority criteria to identify a patient whose condition warrants an earlier response (e.g. chest pain, breathlessness, active bleeding).</w:t>
      </w:r>
    </w:p>
    <w:p>
      <w:r>
        <w:t>2. Apply the defined visual identification mechanism (e.g. a coloured sticker on the file or patient) as soon as priority is identified.</w:t>
      </w:r>
    </w:p>
    <w:p>
      <w:r>
        <w:t>3. Move the marked patient ahead in the queue per the priority criteria, and inform the receiving clinician or diagnostic technician of the marking.</w:t>
      </w:r>
    </w:p>
    <w:p>
      <w:r>
        <w:t>4. Record the marking time and the time the patient was seen, per the Priority Patient Sample Audit.</w:t>
      </w:r>
    </w:p>
    <w:p>
      <w:r>
        <w:t>5. Orient every new queue or diagnostic-flow staff member to this SOP at induction, and refresh annually.</w:t>
      </w:r>
    </w:p>
    <w:p>
      <w:pPr>
        <w:pStyle w:val="Heading1"/>
      </w:pPr>
      <w:r>
        <w:t>5. Records</w:t>
      </w:r>
    </w:p>
    <w:p>
      <w:r>
        <w:t>Supported by Records 14–17: the Clinical Priority Guidelines Log, Visual Identification Mechanism Description, Queue/Diagnostic Staff Orientation Record, and Priority Patient Sample Audit.</w:t>
      </w:r>
    </w:p>
    <w:p>
      <w:pPr>
        <w:pStyle w:val="Heading1"/>
      </w:pPr>
      <w:r>
        <w:t>6. Related Documents</w:t>
      </w:r>
    </w:p>
    <w:p>
      <w:pPr>
        <w:pStyle w:val="ListParagraph"/>
      </w:pPr>
      <w:r>
        <w:t>Policy on Registration and Admission (HCO/AAC/POL/02) — AAC.2 policy</w:t>
      </w:r>
    </w:p>
    <w:p>
      <w:pPr>
        <w:pStyle w:val="Heading1"/>
      </w:pPr>
      <w:r>
        <w:t>7. Where This SOP's Requirements Come From (Verified Sources)</w:t>
      </w:r>
    </w:p>
    <w:p>
      <w:pPr>
        <w:pStyle w:val="ListParagraph"/>
      </w:pPr>
      <w:hyperlink r:id="rId9">
        <w:r>
          <w:rPr>
            <w:color w:val="0563C1"/>
            <w:u w:val="single"/>
          </w:rPr>
          <w:t>National Accreditation Board for Hospitals and Healthcare Providers. (2025). NABH accreditation standards for hospitals (6th ed.). ISBN 978-81-965264-9-8.</w:t>
        </w:r>
      </w:hyperlink>
    </w:p>
    <w:p>
      <w:pPr>
        <w:pStyle w:val="Heading1"/>
      </w:pPr>
      <w:r>
        <w:t>8. Review</w:t>
      </w:r>
    </w:p>
    <w:p>
      <w:r>
        <w:t>Reviewed annually, or sooner if the priority criteria or visual marker changes.</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