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Standard Operating Procedure</w:t>
      </w:r>
    </w:p>
    <w:p>
      <w:r>
        <w:rPr>
          <w:b/>
          <w:sz w:val="26"/>
        </w:rPr>
        <w:t>Patient Registration, Identification and Admission</w:t>
      </w:r>
    </w:p>
    <w:p>
      <w:r>
        <w:t>«Hospital Name» — Supports AAC.2.a, AAC.2.b, AAC.2.c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this SOP exist? (read this first if you're new)</w:t>
            </w:r>
          </w:p>
          <w:p>
            <w:r>
              <w:rPr>
                <w:sz w:val="20"/>
              </w:rPr>
              <w:t>This SOP describes how «Hospital Name» registers every assessed patient (including unidentified patients), assigns a unique identification number at the end of registration, and decides admission or acceptance only when the required service can be provided — without ever delaying emergency life-saving treatment for that decision. If you're new to this SOP, the short version is: follow the numbered steps below in order — they exist because skipping one of them is exactly how a real gap or a real patient-safety problem happens, not because NABH likes paperwork for its own sake.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SOP No.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[Hospital to define]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1.0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________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Frequency</w:t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  <w:t>Annual, or on change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Quality Coordinator   Name: ________   Signature: ________</w:t>
            </w:r>
          </w:p>
        </w:tc>
      </w:tr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60"/>
            <w:gridSpan w:val="3"/>
          </w:tcPr>
          <w:p>
            <w:r/>
            <w:r>
              <w:rPr>
                <w:b w:val="0"/>
                <w:sz w:val="20"/>
              </w:rPr>
              <w:t>Medical Superintendent   Name: ________   Signature: ________</w:t>
            </w:r>
          </w:p>
        </w:tc>
      </w:tr>
    </w:tbl>
    <w:p>
      <w:pPr>
        <w:pStyle w:val="Heading1"/>
      </w:pPr>
      <w:r>
        <w:t>1. Purpose</w:t>
      </w:r>
    </w:p>
    <w:p>
      <w:r>
        <w:t>This SOP describes how «Hospital Name» registers every assessed patient (including unidentified patients), assigns a unique identification number at the end of registration, and decides admission or acceptance only when the required service can be provided — without ever delaying emergency life-saving treatment for that decision.</w:t>
      </w:r>
    </w:p>
    <w:p>
      <w:pPr>
        <w:pStyle w:val="Heading1"/>
      </w:pPr>
      <w:r>
        <w:t>2. Scope</w:t>
      </w:r>
    </w:p>
    <w:p>
      <w:r>
        <w:t>Applies to every registration and admission point: front office, OPD registration, emergency, day-care, and in-patient admission desks.</w:t>
      </w:r>
    </w:p>
    <w:p>
      <w:pPr>
        <w:pStyle w:val="Heading1"/>
      </w:pPr>
      <w:r>
        <w:t>3. Responsibility</w:t>
      </w:r>
    </w:p>
    <w:p>
      <w:r>
        <w:t xml:space="preserve">Registration / Front Office Staff: </w:t>
      </w:r>
      <w:r>
        <w:t>register every assessed patient and verify identity.</w:t>
      </w:r>
    </w:p>
    <w:p>
      <w:r>
        <w:t xml:space="preserve">Treating Doctor: </w:t>
      </w:r>
      <w:r>
        <w:t>authorises every admission and decides service-acceptance after any needed emergency stabilisation.</w:t>
      </w:r>
    </w:p>
    <w:p>
      <w:r>
        <w:t xml:space="preserve">Medical Records: </w:t>
      </w:r>
      <w:r>
        <w:t>maintains the unique-number master index and checks for duplicates.</w:t>
      </w:r>
    </w:p>
    <w:p>
      <w:pPr>
        <w:pStyle w:val="Heading1"/>
      </w:pPr>
      <w:r>
        <w:t>4. Procedure</w:t>
      </w:r>
    </w:p>
    <w:p>
      <w:pPr>
        <w:pStyle w:val="Heading2"/>
      </w:pPr>
      <w:r>
        <w:t>4.1 Registering a patient, including unidentified patients</w:t>
      </w:r>
    </w:p>
    <w:p>
      <w:r>
        <w:rPr>
          <w:b/>
          <w:i/>
        </w:rPr>
        <w:t xml:space="preserve">Why this step matters: </w:t>
      </w:r>
      <w:r>
        <w:rPr>
          <w:i/>
        </w:rPr>
        <w:t>A patient registered under the wrong identity — or an unidentified patient never flagged as such — can have their records, orders, or results attached to the wrong person.</w:t>
      </w:r>
    </w:p>
    <w:p>
      <w:r>
        <w:t>1. Verify identity using government photo ID where available, or two identifiers stated by the patient or accompanying person. This two-identifier check follows The Joint Commission's National Patient Safety Goal on patient identification — see Section 8, Reference 1.</w:t>
      </w:r>
    </w:p>
    <w:p>
      <w:r>
        <w:t>2. For an unidentified patient (e.g. found unconscious, no ID), register using the unidentified-patient process: assign a temporary descriptive identifier (e.g. "Unknown Male, approx. 40 yrs, brought by police") and update to the real identity as soon as it becomes known, cross-referencing the unique number already issued.</w:t>
      </w:r>
    </w:p>
    <w:p>
      <w:r>
        <w:t>3. Obtain general consent for treatment at the point of entry, and explain its scope to the patient or family before proceeding.</w:t>
      </w:r>
    </w:p>
    <w:p>
      <w:r>
        <w:rPr>
          <w:b/>
          <w:i/>
          <w:sz w:val="18"/>
        </w:rPr>
        <w:t xml:space="preserve">Technical source(s) for these steps: 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The Joint Commission. (n.d.). National Patient Safety Goals, Goal 1 (Use at least two patient identifiers).</w:t>
        </w:r>
      </w:hyperlink>
    </w:p>
    <w:p>
      <w:pPr>
        <w:pStyle w:val="Heading2"/>
      </w:pPr>
      <w:r>
        <w:t>4.2 Assigning the unique identification number</w:t>
      </w:r>
    </w:p>
    <w:p>
      <w:r>
        <w:rPr>
          <w:b/>
          <w:i/>
        </w:rPr>
        <w:t xml:space="preserve">Why this step matters: </w:t>
      </w:r>
      <w:r>
        <w:rPr>
          <w:i/>
        </w:rPr>
        <w:t>A second unique number issued to a patient who already has one splits their medical history across two records, each missing what the other knows.</w:t>
      </w:r>
    </w:p>
    <w:p>
      <w:r>
        <w:t>1. At the end of the patient's first-ever registration with the hospital, generate one unique identification number. Never assign a second unique number to a patient who already has one — search the master index by name, date of birth, and other identifiers first.</w:t>
      </w:r>
    </w:p>
    <w:p>
      <w:r>
        <w:t>2. For later visits, a visit/encounter number may be created in addition, but it must be linked to the existing unique number, not replace it.</w:t>
      </w:r>
    </w:p>
    <w:p>
      <w:r>
        <w:t>3. Medical Records runs a duplicate-number check periodically and logs the result, per the Duplicate-Number Audit Log.</w:t>
      </w:r>
    </w:p>
    <w:p>
      <w:pPr>
        <w:pStyle w:val="Heading2"/>
      </w:pPr>
      <w:r>
        <w:t>4.3 Deciding acceptance — and never delaying emergency care for it</w:t>
      </w:r>
    </w:p>
    <w:p>
      <w:r>
        <w:rPr>
          <w:b/>
          <w:i/>
        </w:rPr>
        <w:t xml:space="preserve">Why this step matters: </w:t>
      </w:r>
      <w:r>
        <w:rPr>
          <w:i/>
        </w:rPr>
        <w:t>Checking whether the hospital can provide a service before treating an emergency patient — instead of after stabilising them — can cost the time that patient doesn't have.</w:t>
      </w:r>
    </w:p>
    <w:p>
      <w:r>
        <w:t>1. Check the current service directory to confirm the hospital can provide the required service before accepting a non-emergency patient.</w:t>
      </w:r>
    </w:p>
    <w:p>
      <w:r>
        <w:t>2. For an emergency presentation, begin life-saving treatment immediately — the acceptance decision is made only after the patient is stabilised, never before.</w:t>
      </w:r>
    </w:p>
    <w:p>
      <w:r>
        <w:t>3. If, after stabilisation, the hospital cannot continue care, arrange safe transfer per the hospital's Patient Transfer and Referral SOP.</w:t>
      </w:r>
    </w:p>
    <w:p>
      <w:r>
        <w:t>4. If a non-emergency patient is not accepted, log the presentation, the reason, and the advice or referral given in the Non-Accepted Presentation Log.</w:t>
      </w:r>
    </w:p>
    <w:p>
      <w:pPr>
        <w:pStyle w:val="Heading1"/>
      </w:pPr>
      <w:r>
        <w:t>5. Records</w:t>
      </w:r>
    </w:p>
    <w:p>
      <w:r>
        <w:t>This SOP is supported by Records 1–9 of the AAC.2 Required Records pack: the Registration &amp; Admission Guidance Log, Sample Registration &amp; Consent Audit, Admission Authorisation Audit, Unique Number Master Index, Cross-Department Unique Number Trace, Duplicate-Number Audit Log, Non-Accepted Presentation Log, Emergency Stabilisation-Before-Acceptance Audit, and Service Directory Availability Log.</w:t>
      </w:r>
    </w:p>
    <w:p>
      <w:pPr>
        <w:pStyle w:val="Heading1"/>
      </w:pPr>
      <w:r>
        <w:t>6. Related Documents</w:t>
      </w:r>
    </w:p>
    <w:p>
      <w:pPr>
        <w:pStyle w:val="ListParagraph"/>
      </w:pPr>
      <w:r>
        <w:t>Policy on Registration and Admission (HCO/AAC/POL/02) — AAC.2 policy</w:t>
      </w:r>
    </w:p>
    <w:p>
      <w:pPr>
        <w:pStyle w:val="ListParagraph"/>
      </w:pPr>
      <w:r>
        <w:t>AAC.1 Required Records — Service Directory (Record 1)</w:t>
      </w:r>
    </w:p>
    <w:p>
      <w:pPr>
        <w:pStyle w:val="ListParagraph"/>
      </w:pPr>
      <w:r>
        <w:t>SOP — Patient Transfer (In, Out) and Referral</w:t>
      </w:r>
    </w:p>
    <w:p>
      <w:pPr>
        <w:pStyle w:val="Heading1"/>
      </w:pPr>
      <w:r>
        <w:t>7. Where This SOP's Requirements Come From (Verified Sources)</w:t>
      </w:r>
    </w:p>
    <w:p>
      <w:pPr>
        <w:pStyle w:val="ListParagraph"/>
      </w:pPr>
      <w:hyperlink r:id="rId10">
        <w:r>
          <w:rPr>
            <w:color w:val="0563C1"/>
            <w:u w:val="single"/>
          </w:rPr>
          <w:t>National Accreditation Board for Hospitals and Healthcare Providers. (2025). NABH accreditation standards for hospitals (6th ed.). ISBN 978-81-965264-9-8.</w:t>
        </w:r>
      </w:hyperlink>
    </w:p>
    <w:p>
      <w:pPr>
        <w:pStyle w:val="ListParagraph"/>
      </w:pPr>
      <w:hyperlink r:id="rId11">
        <w:r>
          <w:rPr>
            <w:color w:val="0563C1"/>
            <w:u w:val="single"/>
          </w:rPr>
          <w:t>The Joint Commission — National Patient Safety Goals: Identify Patients Correctly (NPSG.01.01.01)</w:t>
        </w:r>
      </w:hyperlink>
    </w:p>
    <w:p>
      <w:pPr>
        <w:pStyle w:val="Heading1"/>
      </w:pPr>
      <w:r>
        <w:t>8. Review</w:t>
      </w:r>
    </w:p>
    <w:p>
      <w:r>
        <w:t>Reviewed annually, or sooner if the registration system or service directory changes.</w:t>
      </w:r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igitalassets.jointcommission.org/api/public/content/94389f1cc45940fd90d7954147cac4c4?v=339f4b95" TargetMode="External"/><Relationship Id="rId10" Type="http://schemas.openxmlformats.org/officeDocument/2006/relationships/hyperlink" Target="https://portal.nabh.co/images/Standards/NABH%20Hospital%20Accreditation%20Standard%206th%20Edition%20January%202025.pdf" TargetMode="External"/><Relationship Id="rId11" Type="http://schemas.openxmlformats.org/officeDocument/2006/relationships/hyperlink" Target="https://www.jointcommission.org/en-us/standards/national-patient-safety-go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