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Critical Laboratory Result Communication</w:t>
      </w:r>
    </w:p>
    <w:p>
      <w:r>
        <w:t>«Hospital Name» — Supports AAC.6.g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communicates a critical laboratory result the moment it is ready, with a documented read-back, so the treating team can act without delay.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communicates a critical laboratory result the moment it is ready, with a documented read-back, so the treating team can act without delay.</w:t>
      </w:r>
    </w:p>
    <w:p>
      <w:pPr>
        <w:pStyle w:val="Heading1"/>
      </w:pPr>
      <w:r>
        <w:t>2. Scope</w:t>
      </w:r>
    </w:p>
    <w:p>
      <w:r>
        <w:t>Applies to every laboratory staff member authorised to report results, for every test with a defined critical limit — including outsourced investigations.</w:t>
      </w:r>
    </w:p>
    <w:p>
      <w:pPr>
        <w:pStyle w:val="Heading1"/>
      </w:pPr>
      <w:r>
        <w:t>3. Responsibility</w:t>
      </w:r>
    </w:p>
    <w:p>
      <w:r>
        <w:t xml:space="preserve">Authorised Reporter: </w:t>
      </w:r>
      <w:r>
        <w:t>identifies a critical result and calls it in immediately.</w:t>
      </w:r>
    </w:p>
    <w:p>
      <w:r>
        <w:t xml:space="preserve">Receiving Clinical Staff: </w:t>
      </w:r>
      <w:r>
        <w:t>reads back the value to confirm accuracy before acting.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 critical result that waits for the routine report run instead of an immediate call can reach the treating team hours after the patient needed it.</w:t>
      </w:r>
    </w:p>
    <w:p>
      <w:r>
        <w:t>1. Check every result against the documented critical limits for that test, including outsourced investigation results.</w:t>
      </w:r>
    </w:p>
    <w:p>
      <w:r>
        <w:t>2. The moment a result crosses a critical limit, call a person from the treating team — do not wait for a routine report run.</w:t>
      </w:r>
    </w:p>
    <w:p>
      <w:r>
        <w:t>3. State clearly: patient name, unique ID, date and time of sample collection, test name, result, unit, and reference range.</w:t>
      </w:r>
    </w:p>
    <w:p>
      <w:r>
        <w:t>4. Ask the recipient to read back the value to confirm it was heard correctly, and log that the read-back was done.</w:t>
      </w:r>
    </w:p>
    <w:p>
      <w:r>
        <w:t>5. Record your own identity and the recipient's identity in the Critical Result Communication Log, with date and time.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Clinical and Laboratory Standards Institute. (2015). GP47: Management of critical- and significant-risk results (1st ed.).</w:t>
        </w:r>
      </w:hyperlink>
    </w:p>
    <w:p>
      <w:pPr>
        <w:pStyle w:val="Heading1"/>
      </w:pPr>
      <w:r>
        <w:t>5. Records</w:t>
      </w:r>
    </w:p>
    <w:p>
      <w:r>
        <w:t>Supported by Records 19–21 of the AAC.6 Required Records pack.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Laboratory Services (HCO/AAC/POL/06) — AAC.6 policy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The Joint Commission — National Patient Safety Goals: Report Critical Results on a Timely Basis (NPSG.02.03.01)</w:t>
        </w:r>
      </w:hyperlink>
    </w:p>
    <w:p>
      <w:pPr>
        <w:pStyle w:val="Heading1"/>
      </w:pPr>
      <w:r>
        <w:t>8. Review</w:t>
      </w:r>
    </w:p>
    <w:p>
      <w:r>
        <w:t>Reviewed annually.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si.org/shop/standards/gp47/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Relationship Id="rId11" Type="http://schemas.openxmlformats.org/officeDocument/2006/relationships/hyperlink" Target="https://www.jointcommission.org/en-us/standards/national-patient-safety-go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