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Imaging QA: Appropriateness Screening and Peer Review</w:t>
      </w:r>
    </w:p>
    <w:p>
      <w:r>
        <w:t>«Hospital Name» — Supports AAC.9.b, AAC.9.c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screens imaging orders for clinical appropriateness before the examination, and reviews a sample of completed studies for reporting quality.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screens imaging orders for clinical appropriateness before the examination, and reviews a sample of completed studies for reporting quality.</w:t>
      </w:r>
    </w:p>
    <w:p>
      <w:pPr>
        <w:pStyle w:val="Heading1"/>
      </w:pPr>
      <w:r>
        <w:t>2. Scope</w:t>
      </w:r>
    </w:p>
    <w:p>
      <w:r>
        <w:t>Applies to every imaging order before it is scheduled, and to a defined sample of CT and MRI studies after reporting.</w:t>
      </w:r>
    </w:p>
    <w:p>
      <w:pPr>
        <w:pStyle w:val="Heading1"/>
      </w:pPr>
      <w:r>
        <w:t>3. Responsibility</w:t>
      </w:r>
    </w:p>
    <w:p>
      <w:r>
        <w:t xml:space="preserve">Imaging Staff / Radiologist: </w:t>
      </w:r>
      <w:r>
        <w:t>screens orders for appropriateness and queries the requesting doctor if the order does not match best-practice guidelines.</w:t>
      </w:r>
    </w:p>
    <w:p>
      <w:r>
        <w:t xml:space="preserve">Peer Reviewer (another radiologist): </w:t>
      </w:r>
      <w:r>
        <w:t>reviews the defined sample of studies and grades any discrepancy.</w:t>
      </w:r>
    </w:p>
    <w:p>
      <w:pPr>
        <w:pStyle w:val="Heading1"/>
      </w:pPr>
      <w:r>
        <w:t>4. Procedure</w:t>
      </w:r>
    </w:p>
    <w:p>
      <w:pPr>
        <w:pStyle w:val="Heading2"/>
      </w:pPr>
      <w:r>
        <w:t>4.1 Appropriateness screening</w:t>
      </w:r>
    </w:p>
    <w:p>
      <w:r>
        <w:rPr>
          <w:b/>
          <w:i/>
        </w:rPr>
        <w:t xml:space="preserve">Why this step matters: </w:t>
      </w:r>
      <w:r>
        <w:rPr>
          <w:i/>
        </w:rPr>
        <w:t>An inappropriate imaging order that goes unchallenged exposes the patient to a scan — and sometimes radiation — they didn't need.</w:t>
      </w:r>
    </w:p>
    <w:p>
      <w:r>
        <w:t>1. Before scheduling, check every imaging order against current best-practice guidelines for that clinical indication. The ACR Appropriateness Criteria — see Section 8, Reference 1 — is a recognised, evidence-based source for this screening.</w:t>
      </w:r>
    </w:p>
    <w:p>
      <w:r>
        <w:t>2. If the order does not appear appropriate, consult the requesting doctor before proceeding, and document the consultation and outcome.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American College of Radiology. (n.d.). ACR Appropriateness Criteria®.</w:t>
        </w:r>
      </w:hyperlink>
    </w:p>
    <w:p>
      <w:pPr>
        <w:pStyle w:val="Heading2"/>
      </w:pPr>
      <w:r>
        <w:t>4.2 Peer review</w:t>
      </w:r>
    </w:p>
    <w:p>
      <w:r>
        <w:rPr>
          <w:b/>
          <w:i/>
        </w:rPr>
        <w:t xml:space="preserve">Why this step matters: </w:t>
      </w:r>
      <w:r>
        <w:rPr>
          <w:i/>
        </w:rPr>
        <w:t>Skipping peer review lets a discrepancy pattern — a modality or a reader consistently off — go unnoticed indefinitely.</w:t>
      </w:r>
    </w:p>
    <w:p>
      <w:r>
        <w:t>1. Review a defined sample of CT and MRI studies — at minimum one percent — per the schedule and periodicity the hospital has defined for each modality. The ACR's RADPEER programme — see Section 8, Reference 2 — is a recognised structure for this kind of peer review and discrepancy scoring.</w:t>
      </w:r>
    </w:p>
    <w:p>
      <w:r>
        <w:t>2. Grade any discrepancy found by severity, and log it in the Peer Review Record.</w:t>
      </w:r>
    </w:p>
    <w:p>
      <w:r>
        <w:t>3. Discuss significant discrepancies at a discrepancy meeting where held, and capture learning points.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American College of Radiology. (n.d.). RADPEER®.</w:t>
        </w:r>
      </w:hyperlink>
    </w:p>
    <w:p>
      <w:pPr>
        <w:pStyle w:val="Heading1"/>
      </w:pPr>
      <w:r>
        <w:t>5. Records</w:t>
      </w:r>
    </w:p>
    <w:p>
      <w:r>
        <w:t>Supported by Records 3–6 of the AAC.9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Imaging Quality Assurance and Safety Programme (HCO/AAC/POL/09) — AAC.9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2">
        <w:r>
          <w:rPr>
            <w:color w:val="0563C1"/>
            <w:u w:val="single"/>
          </w:rPr>
          <w:t>ACR — ACR Appropriateness Criteria</w:t>
        </w:r>
      </w:hyperlink>
    </w:p>
    <w:p>
      <w:pPr>
        <w:pStyle w:val="ListParagraph"/>
      </w:pPr>
      <w:hyperlink r:id="rId13">
        <w:r>
          <w:rPr>
            <w:color w:val="0563C1"/>
            <w:u w:val="single"/>
          </w:rPr>
          <w:t>ACR — RADPEER Peer Review Program</w:t>
        </w:r>
      </w:hyperlink>
    </w:p>
    <w:p>
      <w:pPr>
        <w:pStyle w:val="Heading1"/>
      </w:pPr>
      <w:r>
        <w:t>8. Review</w:t>
      </w:r>
    </w:p>
    <w:p>
      <w:r>
        <w:t>Reviewed annually.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s.acr.org/Clinical-Resources/ACR-Appropriateness-Criteria" TargetMode="External"/><Relationship Id="rId10" Type="http://schemas.openxmlformats.org/officeDocument/2006/relationships/hyperlink" Target="https://cs.acr.org/Clinical-Resources/RADPEER" TargetMode="External"/><Relationship Id="rId11" Type="http://schemas.openxmlformats.org/officeDocument/2006/relationships/hyperlink" Target="https://portal.nabh.co/images/Standards/NABH%20Hospital%20Accreditation%20Standard%206th%20Edition%20January%202025.pdf" TargetMode="External"/><Relationship Id="rId12" Type="http://schemas.openxmlformats.org/officeDocument/2006/relationships/hyperlink" Target="https://www.acr.org/Clinical-Resources/Clinical-Tools-and-Reference/Appropriateness-Criteria" TargetMode="External"/><Relationship Id="rId13" Type="http://schemas.openxmlformats.org/officeDocument/2006/relationships/hyperlink" Target="https://www.acr.org/Clinical-Resources/Clinical-Tools-and-Reference/RADPE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