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High-Risk Obstetric Case Identification and Management</w:t>
      </w:r>
    </w:p>
    <w:p>
      <w:r>
        <w:t>«Hospital Name» — Supports COP.10.b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identifies a high-risk pregnancy during ante-natal care and manages it in-house or by timely referral.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identifies a high-risk pregnancy during ante-natal care and manages it in-house or by timely referral.</w:t>
      </w:r>
    </w:p>
    <w:p>
      <w:pPr>
        <w:pStyle w:val="Heading1"/>
      </w:pPr>
      <w:r>
        <w:t>2. Scope</w:t>
      </w:r>
    </w:p>
    <w:p>
      <w:r>
        <w:t>Applies to every ante-natal patient assessed at any visit.</w:t>
      </w:r>
    </w:p>
    <w:p>
      <w:pPr>
        <w:pStyle w:val="Heading1"/>
      </w:pPr>
      <w:r>
        <w:t>3. Responsibility</w:t>
      </w:r>
    </w:p>
    <w:p>
      <w:r>
        <w:t xml:space="preserve">Obstetrician / Ante-Natal Doctor: </w:t>
      </w:r>
      <w:r>
        <w:t>identifies high-risk factors and decides in-house management or referral.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high-risk factor missed after the first visit is one that goes unmanaged for the rest of the pregnancy — risk can emerge or change at any visit, not just the first.</w:t>
      </w:r>
    </w:p>
    <w:p>
      <w:r>
        <w:t>1. Apply the hospital's defined high-risk criteria at every ante-natal visit — this is not limited to the first visit.</w:t>
      </w:r>
    </w:p>
    <w:p>
      <w:r>
        <w:t>2. Document the specific risk factor identified and the visit/date it was found.</w:t>
      </w:r>
    </w:p>
    <w:p>
      <w:r>
        <w:t>3. For conditions within the hospital's scope, confirm a competent workforce and facilities are actually available before managing in-house.</w:t>
      </w:r>
    </w:p>
    <w:p>
      <w:r>
        <w:t>4. For conditions outside scope, refer promptly to an appropriate facility and document the referral.</w:t>
      </w:r>
    </w:p>
    <w:p>
      <w:r>
        <w:t>5. Increase monitoring frequency for every identified high-risk case, per written guidance.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Ministry of Health and Family Welfare, Government of India. (2016). High-risk conditions in pregnancy (Pradhan Mantri Surakshit Matritva Abhiyan operational guideline).</w:t>
        </w:r>
      </w:hyperlink>
    </w:p>
    <w:p>
      <w:pPr>
        <w:pStyle w:val="Heading1"/>
      </w:pPr>
      <w:r>
        <w:t>5. Records</w:t>
      </w:r>
    </w:p>
    <w:p>
      <w:r>
        <w:t>Supported by Records 3 and 4 of the COP.10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Obstetric Care (HCO/COP/POL/10) — COP.10 policy</w:t>
      </w:r>
    </w:p>
    <w:p>
      <w:pPr>
        <w:pStyle w:val="ListParagraph"/>
      </w:pPr>
      <w:r>
        <w:t>SOP — Labour and Delivery Monitoring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WHO Recommendations: Intrapartum Care for a Positive Childbirth Experience (2018)</w:t>
        </w:r>
      </w:hyperlink>
    </w:p>
    <w:p>
      <w:pPr>
        <w:pStyle w:val="Heading1"/>
      </w:pPr>
      <w:r>
        <w:t>8. Review</w:t>
      </w:r>
    </w:p>
    <w:p>
      <w:r>
        <w:t>Reviewed annually, and immediately after any maternal adverse event linked to a missed high-risk identification.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sma.mohfw.gov.in/wp-content/uploads/2016/10/High-Risk-Conditions-in-preg-modified-Final.pdf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who.int/publications/i/item/97892415502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