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Fall-Risk Assessment and Prevention</w:t>
      </w:r>
    </w:p>
    <w:p>
      <w:r>
        <w:t>«Hospital Name» — Supports COP.16.b (Stop-Work)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identifies patients at risk of falling and puts prevention measures in place, using a validated assessment tool.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identifies patients at risk of falling and puts prevention measures in place, using a validated assessment tool.</w:t>
      </w:r>
    </w:p>
    <w:p>
      <w:pPr>
        <w:pStyle w:val="Heading1"/>
      </w:pPr>
      <w:r>
        <w:t>2. Scope</w:t>
      </w:r>
    </w:p>
    <w:p>
      <w:r>
        <w:t>Applies to every in-patient at admission and on any significant change in condition.</w:t>
      </w:r>
    </w:p>
    <w:p>
      <w:pPr>
        <w:pStyle w:val="Heading1"/>
      </w:pPr>
      <w:r>
        <w:t>3. Responsibility</w:t>
      </w:r>
    </w:p>
    <w:p>
      <w:r>
        <w:t xml:space="preserve">Admitting/Ward Nurse: </w:t>
      </w:r>
      <w:r>
        <w:t>completes the fall-risk assessment and implements the resulting management plan.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fall risk never scored at admission means precautions only start after the first fall, not before it.</w:t>
      </w:r>
    </w:p>
    <w:p>
      <w:r>
        <w:t>1. Assess every patient's fall risk at admission, using the hospital's adopted validated tool (e.g. Morse Fall Scale).</w:t>
      </w:r>
    </w:p>
    <w:p>
      <w:r>
        <w:t>2. Commonly used Morse Fall Scale bands: 0-24 — low risk; 25-44 — moderate risk; 45 or more — high risk. [Hospital to define: confirm the exact score bands this hospital has adopted.]</w:t>
      </w:r>
    </w:p>
    <w:p>
      <w:r>
        <w:t>3. Document the tool used and the score/risk level — an informal or non-validated judgement does not satisfy this requirement.</w:t>
      </w:r>
    </w:p>
    <w:p>
      <w:r>
        <w:t>4. For patients found at risk, implement management measures per written guidance (e.g. bed alarm, non-slip footwear, hourly rounding, bed in lowest position).</w:t>
      </w:r>
    </w:p>
    <w:p>
      <w:r>
        <w:t>5. Reassess fall risk on any significant change in condition, medication change affecting mobility or alertness, or transfer between units.</w:t>
      </w:r>
    </w:p>
    <w:p>
      <w:r>
        <w:t>6. Communicate fall-risk status at every shift hand-over.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Morse, J. M., Black, C., Oberle, K., &amp; Donahue, P. (1989). A prospective study to identify the fall-prone patient. Social Science &amp; Medicine, 28(1), 81–86.</w:t>
        </w:r>
      </w:hyperlink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use a non-validated or informal method as a substitute for the adopted fall-risk tool. Do not leave a patient identified as high fall risk without the defined management measures in place. Raising a missed or overdue fall-risk assessment is not a disciplinary matter.</w:t>
      </w:r>
    </w:p>
    <w:p>
      <w:pPr>
        <w:pStyle w:val="Heading1"/>
      </w:pPr>
      <w:r>
        <w:t>6. Records</w:t>
      </w:r>
    </w:p>
    <w:p>
      <w:r>
        <w:t>Supported by Record 3 of the COP.16 Required Records pack: Fall-Risk Assessment Record.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High-Risk Patients — Identification and Management (HCO/COP/POL/16) — COP.16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Morse, Morse &amp; Tylko (1989) — Development of a scale to identify the fall-prone patient</w:t>
        </w:r>
      </w:hyperlink>
    </w:p>
    <w:p>
      <w:pPr>
        <w:pStyle w:val="Heading1"/>
      </w:pPr>
      <w:r>
        <w:t>9. Review</w:t>
      </w:r>
    </w:p>
    <w:p>
      <w:r>
        <w:t>Reviewed annually, and immediately after any in-patient fall with harm.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928815/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doi.org/10.1017/S07149808000085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