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DNR / DNI / AND Decision-Making</w:t>
      </w:r>
    </w:p>
    <w:p>
      <w:r>
        <w:t>«Hospital Name» — Supports COP.20.c</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makes and documents a Do Not Resuscitate, Do Not Intubate, or Allow Natural Death decision, strictly within the current legal framework.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makes and documents a Do Not Resuscitate, Do Not Intubate, or Allow Natural Death decision, strictly within the current legal framework. This SOP does not cite a separate clickable external source. It applies the current Indian Council of Medical Research (ICMR) DNR guideline and the applicable Supreme Court of India directive on passive euthanasia and advance medical directives, as already named in the COP.20 policy. «Hospital Name» is responsible for checking it is applying the current version of both at the time of any decision -- government sites for these could not be reliably verified as reachable from here, so no link is given rather than risking a broken or wrong one.</w:t>
      </w:r>
    </w:p>
    <w:p>
      <w:pPr>
        <w:pStyle w:val="Heading1"/>
      </w:pPr>
      <w:r>
        <w:t>2. Scope</w:t>
      </w:r>
    </w:p>
    <w:p>
      <w:r>
        <w:t>Applies to every DNR, DNI, or AND decision made at the hospital.</w:t>
      </w:r>
    </w:p>
    <w:p>
      <w:pPr>
        <w:pStyle w:val="Heading1"/>
      </w:pPr>
      <w:r>
        <w:t>3. Responsibility</w:t>
      </w:r>
    </w:p>
    <w:p>
      <w:r>
        <w:t xml:space="preserve">Treating Doctor: </w:t>
      </w:r>
      <w:r>
        <w:t>confirms the legal basis, discusses with the patient/family, and documents the decision.</w:t>
      </w:r>
    </w:p>
    <w:p>
      <w:pPr>
        <w:pStyle w:val="Heading1"/>
      </w:pPr>
      <w:r>
        <w:t>4. Plain-Language Glossary</w:t>
      </w:r>
    </w:p>
    <w:p>
      <w:r>
        <w:t>If a word below is unfamiliar, this is what it means in this SOP:</w:t>
      </w:r>
    </w:p>
    <w:p>
      <w:pPr>
        <w:pStyle w:val="ListParagraph"/>
      </w:pPr>
      <w:r>
        <w:rPr>
          <w:b/>
        </w:rPr>
        <w:t xml:space="preserve">DNR/DNI: </w:t>
      </w:r>
      <w:r>
        <w:t>Do Not Resuscitate / Do Not Intubate — a documented decision, made with the patient or family, not to perform CPR or intubation if the patient's heart or breathing stops.</w:t>
      </w:r>
    </w:p>
    <w:p>
      <w:pPr>
        <w:pStyle w:val="Heading1"/>
      </w:pPr>
      <w:r>
        <w:t>5. Procedure</w:t>
      </w:r>
    </w:p>
    <w:p>
      <w:r>
        <w:rPr>
          <w:b/>
          <w:i/>
        </w:rPr>
        <w:t xml:space="preserve">Why this step matters: </w:t>
      </w:r>
      <w:r>
        <w:rPr>
          <w:i/>
        </w:rPr>
        <w:t>Acting on an outdated version of the legal framework — or deciding without the patient or family where they're capable of being consulted — can turn an end-of-life decision into one that wasn't actually theirs to make.</w:t>
      </w:r>
    </w:p>
    <w:p>
      <w:r>
        <w:t>1. Before any DNR/DNI/AND decision, confirm the current, correct version of the applicable legal framework — the ICMR guideline and the relevant Supreme Court directive, plus any State-specific requirement.</w:t>
      </w:r>
    </w:p>
    <w:p>
      <w:r>
        <w:t>2. Discuss the decision with the patient (if capable) or family/legal representative, in a language and manner they understand.</w:t>
      </w:r>
    </w:p>
    <w:p>
      <w:r>
        <w:t>3. Document the decision with its legal basis explicitly stated — never record a decision without naming the framework it was made under.</w:t>
      </w:r>
    </w:p>
    <w:p>
      <w:r>
        <w:t>4. Involve the multi-professional team (doctor, nurse, counsellor/chaplain where relevant) in the decision, not the treating doctor alone.</w:t>
      </w:r>
    </w:p>
    <w:p>
      <w:r>
        <w:t>5. Continue symptomatic treatment and pain relief regardless of the DNR/DNI/AND status — this decision limits resuscitation, not ongoing care.</w:t>
      </w:r>
    </w:p>
    <w:p>
      <w:r>
        <w:rPr>
          <w:b/>
          <w:i/>
          <w:sz w:val="18"/>
        </w:rPr>
        <w:t xml:space="preserve">Technical source(s) for these steps: </w:t>
      </w:r>
    </w:p>
    <w:p>
      <w:pPr>
        <w:pStyle w:val="ListParagraph"/>
      </w:pPr>
      <w:hyperlink r:id="rId9">
        <w:r>
          <w:rPr>
            <w:color w:val="0563C1"/>
            <w:u w:val="single"/>
          </w:rPr>
          <w:t>Indian Council of Medical Research. (2020). ICMR consensus guidelines on 'do not attempt resuscitation'. Indian Journal of Medical Research, 151(4), 303–310.</w:t>
        </w:r>
      </w:hyperlink>
    </w:p>
    <w:p>
      <w:pPr>
        <w:pStyle w:val="ListParagraph"/>
      </w:pPr>
      <w:hyperlink r:id="rId10">
        <w:r>
          <w:rPr>
            <w:color w:val="0563C1"/>
            <w:u w:val="single"/>
          </w:rPr>
          <w:t>Supreme Court of India. (2018). Common Cause (A Regd. Society) v. Union of India, (2018) 5 SCC 1.</w:t>
        </w:r>
      </w:hyperlink>
    </w:p>
    <w:p>
      <w:pPr>
        <w:pStyle w:val="Heading1"/>
      </w:pPr>
      <w:r>
        <w:t>6. Records</w:t>
      </w:r>
    </w:p>
    <w:p>
      <w:r>
        <w:t>Supported by Records 3 and 4 of the COP.20 Required Records pack.</w:t>
      </w:r>
    </w:p>
    <w:p>
      <w:pPr>
        <w:pStyle w:val="Heading1"/>
      </w:pPr>
      <w:r>
        <w:t>7. Related Documents</w:t>
      </w:r>
    </w:p>
    <w:p>
      <w:pPr>
        <w:pStyle w:val="ListParagraph"/>
      </w:pPr>
      <w:r>
        <w:t>Policy on End-of-Life Care (HCO/COP/POL/20) — COP.20 policy</w:t>
      </w:r>
    </w:p>
    <w:p>
      <w:pPr>
        <w:pStyle w:val="Heading1"/>
      </w:pPr>
      <w:r>
        <w:t>8. Where This SOP's Requirements Come From (Verified Sources)</w:t>
      </w:r>
    </w:p>
    <w:p>
      <w:pPr>
        <w:pStyle w:val="ListParagraph"/>
      </w:pPr>
      <w:hyperlink r:id="rId11">
        <w:r>
          <w:rPr>
            <w:color w:val="0563C1"/>
            <w:u w:val="single"/>
          </w:rPr>
          <w:t>National Accreditation Board for Hospitals and Healthcare Providers. (2025). NABH accreditation standards for hospitals (6th ed.). ISBN 978-81-965264-9-8.</w:t>
        </w:r>
      </w:hyperlink>
    </w:p>
    <w:p>
      <w:pPr>
        <w:pStyle w:val="Heading1"/>
      </w:pPr>
      <w:r>
        <w:t>9. Review</w:t>
      </w:r>
    </w:p>
    <w:p>
      <w:r>
        <w:t>Reviewed annually, and immediately if the ICMR guideline, a Supreme Court directive, or a State requirement changes.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lww.com/ijmr/Fulltext/2020/51040/ICMR_Consensus_Guidelines_on__Do_Not_Attempt.8.aspx" TargetMode="External"/><Relationship Id="rId10" Type="http://schemas.openxmlformats.org/officeDocument/2006/relationships/hyperlink" Target="https://indiankanoon.org/doc/184449972/"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