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Standard Operating Procedure</w:t>
      </w:r>
    </w:p>
    <w:p>
      <w:r>
        <w:rPr>
          <w:b/>
          <w:sz w:val="26"/>
        </w:rPr>
        <w:t>Ambulance Dispatch, Checks and In-Transit Care</w:t>
      </w:r>
    </w:p>
    <w:p>
      <w:r>
        <w:t>«Hospital Name» — Supports COP.3.e through COP.3.g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this SOP exist? (read this first if you're new)</w:t>
            </w:r>
          </w:p>
          <w:p>
            <w:r>
              <w:rPr>
                <w:sz w:val="20"/>
              </w:rPr>
              <w:t>This SOP describes how «Hospital Name» dispatches an ambulance, keeps it ready through daily checks, and delivers safe in-transit care with continuous communication. If you're new to this SOP, the short version is: follow the numbered steps below in order — they exist because skipping one of them is exactly how a real gap or a real patient-safety problem happens, not because NABH likes paperwork for its own sake.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SOP No.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[Hospital to define]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Frequency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Annual, or on change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Quality Coordinator   Name: ________   Signature: ________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Medical Superintendent   Name: ________   Signature: ________</w:t>
            </w:r>
          </w:p>
        </w:tc>
      </w:tr>
    </w:tbl>
    <w:p>
      <w:pPr>
        <w:pStyle w:val="Heading1"/>
      </w:pPr>
      <w:r>
        <w:t>1. Purpose</w:t>
      </w:r>
    </w:p>
    <w:p>
      <w:r>
        <w:t>This SOP describes how «Hospital Name» dispatches an ambulance, keeps it ready through daily checks, and delivers safe in-transit care with continuous communication.</w:t>
      </w:r>
    </w:p>
    <w:p>
      <w:pPr>
        <w:pStyle w:val="Heading1"/>
      </w:pPr>
      <w:r>
        <w:t>2. Scope</w:t>
      </w:r>
    </w:p>
    <w:p>
      <w:r>
        <w:t>Applies to every ambulance run by «Hospital Name», for emergency, inter-facility, and scheduled transport.</w:t>
      </w:r>
    </w:p>
    <w:p>
      <w:pPr>
        <w:pStyle w:val="Heading1"/>
      </w:pPr>
      <w:r>
        <w:t>3. Responsibility</w:t>
      </w:r>
    </w:p>
    <w:p>
      <w:r>
        <w:t xml:space="preserve">Ambulance Driver: </w:t>
      </w:r>
      <w:r>
        <w:t>completes daily vehicle-system checks and drives per the defined departure timeframe.</w:t>
      </w:r>
    </w:p>
    <w:p>
      <w:r>
        <w:t xml:space="preserve">Ambulance Nurse/Paramedic: </w:t>
      </w:r>
      <w:r>
        <w:t>checks medical equipment and medication, and delivers in-transit care.</w:t>
      </w:r>
    </w:p>
    <w:p>
      <w:r>
        <w:t xml:space="preserve">Control Room Staff: </w:t>
      </w:r>
      <w:r>
        <w:t>maintains continuous communication throughout the trip.</w:t>
      </w:r>
    </w:p>
    <w:p>
      <w:pPr>
        <w:pStyle w:val="Heading1"/>
      </w:pPr>
      <w:r>
        <w:t>4. Procedure</w:t>
      </w:r>
    </w:p>
    <w:p>
      <w:pPr>
        <w:pStyle w:val="Heading2"/>
      </w:pPr>
      <w:r>
        <w:t>4.1 Daily and post-trip checks</w:t>
      </w:r>
    </w:p>
    <w:p>
      <w:r>
        <w:rPr>
          <w:b/>
          <w:i/>
        </w:rPr>
        <w:t xml:space="preserve">Why this step matters: </w:t>
      </w:r>
      <w:r>
        <w:rPr>
          <w:i/>
        </w:rPr>
        <w:t>An ambulance dispatched with a fault undiscovered because the daily check was skipped can break down or become unsafe exactly when a patient is relying on it.</w:t>
      </w:r>
    </w:p>
    <w:p>
      <w:r>
        <w:t>1. Complete daily checks of lights, siren, beacon, fuel, and tyres before the ambulance goes into service.</w:t>
      </w:r>
    </w:p>
    <w:p>
      <w:r>
        <w:t>2. If any daily check fails, the ambulance does not go into service — ground it, tag it as out of service, and inform the Ambulance In-Charge immediately for repair or replacement before any dispatch.</w:t>
      </w:r>
    </w:p>
    <w:p>
      <w:r>
        <w:t>3. Check medical equipment and medication expiry daily, and top up consumables after every trip.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Ministry of Road Transport and Highways, Government of India. (2013). National Ambulance Code (AIS-125).</w:t>
        </w:r>
      </w:hyperlink>
    </w:p>
    <w:p>
      <w:pPr>
        <w:pStyle w:val="Heading2"/>
      </w:pPr>
      <w:r>
        <w:t>4.2 Dispatch</w:t>
      </w:r>
    </w:p>
    <w:p>
      <w:r>
        <w:rPr>
          <w:b/>
          <w:i/>
        </w:rPr>
        <w:t xml:space="preserve">Why this step matters: </w:t>
      </w:r>
      <w:r>
        <w:rPr>
          <w:i/>
        </w:rPr>
        <w:t>A dispatch that doesn't log its own timing or maintain contact with control leaves no way to know whether the response met the time the patient needed.</w:t>
      </w:r>
    </w:p>
    <w:p>
      <w:r>
        <w:t>1. Log the call receipt time, and depart within the hospital's defined timeframe.</w:t>
      </w:r>
    </w:p>
    <w:p>
      <w:r>
        <w:t>2. Maintain continuous wireless/mobile communication with the control room throughout the trip.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Ministry of Road Transport and Highways, Government of India. (2013). National Ambulance Code (AIS-125).</w:t>
        </w:r>
      </w:hyperlink>
    </w:p>
    <w:p>
      <w:pPr>
        <w:pStyle w:val="Heading2"/>
      </w:pPr>
      <w:r>
        <w:t>4.3 In-transit care</w:t>
      </w:r>
    </w:p>
    <w:p>
      <w:r>
        <w:rPr>
          <w:b/>
          <w:i/>
        </w:rPr>
        <w:t xml:space="preserve">Why this step matters: </w:t>
      </w:r>
      <w:r>
        <w:rPr>
          <w:i/>
        </w:rPr>
        <w:t>A patient whose file is only opened on arrival, with no one person responsible for decisions en route, can lose the minutes in transit that mattered most.</w:t>
      </w:r>
    </w:p>
    <w:p>
      <w:r>
        <w:t>1. Open a patient file from the first communication with the referring point, capturing age, weight, provisional diagnosis, and ongoing treatment.</w:t>
      </w:r>
    </w:p>
    <w:p>
      <w:r>
        <w:t>2. Name one person as responsible for in-transit clinical decisions for each trip.</w:t>
      </w:r>
    </w:p>
    <w:p>
      <w:r>
        <w:t>3. Hand over to the receiving medical professional directly, with a complete verbal and written summary.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10">
        <w:r>
          <w:rPr>
            <w:color w:val="0563C1"/>
            <w:u w:val="single"/>
          </w:rPr>
          <w:t>World Health Organization. (2007). Communication during patient hand-overs (Patient Safety Solutions, Vol. 1, Solution 3).</w:t>
        </w:r>
      </w:hyperlink>
    </w:p>
    <w:p>
      <w:pPr>
        <w:pStyle w:val="Heading1"/>
      </w:pPr>
      <w:r>
        <w:t>5. Records</w:t>
      </w:r>
    </w:p>
    <w:p>
      <w:r>
        <w:t>Supported by Records 6, 7, 8, 9, 10, and 11 of the COP.3 Required Records pack.</w:t>
      </w:r>
    </w:p>
    <w:p>
      <w:pPr>
        <w:pStyle w:val="Heading1"/>
      </w:pPr>
      <w:r>
        <w:t>6. Related Documents</w:t>
      </w:r>
    </w:p>
    <w:p>
      <w:pPr>
        <w:pStyle w:val="ListParagraph"/>
      </w:pPr>
      <w:r>
        <w:t>Policy on Ambulance Services (HCO/COP/POL/03) — COP.3 policy</w:t>
      </w:r>
    </w:p>
    <w:p>
      <w:pPr>
        <w:pStyle w:val="Heading1"/>
      </w:pPr>
      <w:r>
        <w:t>7. Where This SOP's Requirements Come From (Verified Sources)</w:t>
      </w:r>
    </w:p>
    <w:p>
      <w:pPr>
        <w:pStyle w:val="ListParagraph"/>
      </w:pPr>
      <w:hyperlink r:id="rId11">
        <w:r>
          <w:rPr>
            <w:color w:val="0563C1"/>
            <w:u w:val="single"/>
          </w:rPr>
          <w:t>National Accreditation Board for Hospitals and Healthcare Providers. (2025). NABH accreditation standards for hospitals (6th ed.). ISBN 978-81-965264-9-8.</w:t>
        </w:r>
      </w:hyperlink>
    </w:p>
    <w:p>
      <w:pPr>
        <w:pStyle w:val="ListParagraph"/>
      </w:pPr>
      <w:hyperlink r:id="rId12">
        <w:r>
          <w:rPr>
            <w:color w:val="0563C1"/>
            <w:u w:val="single"/>
          </w:rPr>
          <w:t>AIS-125 (Part 1): Requirements for Ambulances Used for Transportation of Patients (2014)</w:t>
        </w:r>
      </w:hyperlink>
    </w:p>
    <w:p>
      <w:pPr>
        <w:pStyle w:val="Heading1"/>
      </w:pPr>
      <w:r>
        <w:t>8. Review</w:t>
      </w:r>
    </w:p>
    <w:p>
      <w:r>
        <w:t>Reviewed annually, and immediately after any ambulance-related adverse event.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orth.nic.in/en/gsr-868e-regarding-ambulance-code" TargetMode="External"/><Relationship Id="rId10" Type="http://schemas.openxmlformats.org/officeDocument/2006/relationships/hyperlink" Target="https://cdn.who.int/media/docs/default-source/patient-safety/patient-safety-solutions/ps-solution3-communication-during-patient-handovers.pdf" TargetMode="External"/><Relationship Id="rId11" Type="http://schemas.openxmlformats.org/officeDocument/2006/relationships/hyperlink" Target="https://portal.nabh.co/images/Standards/NABH%20Hospital%20Accreditation%20Standard%206th%20Edition%20January%202025.pdf" TargetMode="External"/><Relationship Id="rId12" Type="http://schemas.openxmlformats.org/officeDocument/2006/relationships/hyperlink" Target="https://law.resource.org/pub/in/bis/ais/arai.in.ais.125-1.2014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