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Blood and Blood Component Transfusion Administration</w:t>
      </w:r>
    </w:p>
    <w:p>
      <w:r>
        <w:t>«Hospital Name» — Supports COP.8.d, COP.8.e, COP.8.f (Stop-Work)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administers blood and blood components safely — correct testing, correct identification, correct monitoring, and a fast, correct response to any adverse reaction.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administers blood and blood components safely — correct testing, correct identification, correct monitoring, and a fast, correct response to any adverse reaction.</w:t>
      </w:r>
    </w:p>
    <w:p>
      <w:pPr>
        <w:pStyle w:val="Heading1"/>
      </w:pPr>
      <w:r>
        <w:t>2. Scope</w:t>
      </w:r>
    </w:p>
    <w:p>
      <w:r>
        <w:t>Applies to every transfusion of whole blood or blood components, in every clinical area.</w:t>
      </w:r>
    </w:p>
    <w:p>
      <w:pPr>
        <w:pStyle w:val="Heading1"/>
      </w:pPr>
      <w:r>
        <w:t>3. Responsibility</w:t>
      </w:r>
    </w:p>
    <w:p>
      <w:r>
        <w:t xml:space="preserve">Treating Doctor: orders the transfusion with a clear, evidence-based indication.</w:t>
      </w:r>
    </w:p>
    <w:p>
      <w:r>
        <w:t xml:space="preserve">Nursing Staff: performs identity verification, administers, and monitors the transfusion.</w:t>
      </w:r>
    </w:p>
    <w:p>
      <w:r>
        <w:t xml:space="preserve">Blood Bank Staff: completes pre-transfusion testing and releases only cleared units.</w:t>
      </w:r>
    </w:p>
    <w:p>
      <w:pPr>
        <w:pStyle w:val="Heading1"/>
      </w:pPr>
      <w:r>
        <w:t>4. Plain-Language Glossary</w:t>
      </w:r>
    </w:p>
    <w:p>
      <w:r>
        <w:t>If a word below is unfamiliar, this is what it means in this SOP:</w:t>
      </w:r>
    </w:p>
    <w:p>
      <w:pPr>
        <w:pStyle w:val="ListParagraph"/>
      </w:pPr>
      <w:r>
        <w:rPr>
          <w:b/>
        </w:rPr>
        <w:t xml:space="preserve">CAPA: </w:t>
      </w:r>
      <w:r>
        <w:t>Short for Corrective and Preventive Action — what was done to fix a specific problem right now, and what's being done so it doesn't happen again.</w:t>
      </w:r>
    </w:p>
    <w:p>
      <w:pPr>
        <w:pStyle w:val="Heading1"/>
      </w:pPr>
      <w:r>
        <w:t>5. Procedure</w:t>
      </w:r>
    </w:p>
    <w:p>
      <w:pPr>
        <w:pStyle w:val="Heading2"/>
      </w:pPr>
      <w:r>
        <w:t>5.1 Before the transfusion</w:t>
      </w:r>
    </w:p>
    <w:p>
      <w:r>
        <w:rPr>
          <w:b/>
          <w:i/>
        </w:rPr>
        <w:t xml:space="preserve">Why this step matters: </w:t>
      </w:r>
      <w:r>
        <w:rPr>
          <w:i/>
        </w:rPr>
        <w:t>A transfusion started without confirming the indication or obtaining consent exposes the patient to a real risk they never actually agreed to take.</w:t>
      </w:r>
    </w:p>
    <w:p>
      <w:r>
        <w:t>1. Confirm the indication for transfusion against the hospital's evidence-based criteria before ordering.</w:t>
      </w:r>
    </w:p>
    <w:p>
      <w:r>
        <w:t>2. Obtain informed consent from the patient or attendant.</w:t>
      </w:r>
    </w:p>
    <w:p>
      <w:r>
        <w:t>3. Confirm the unit has cleared TTI testing (Transfusion-Transmissible Infection screening — HIV, Hepatitis B, Hepatitis C, syphilis, and malaria) and Red Cell Serology, and is correctly labelled — never issue or accept an unlabelled or untested unit.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AABB. (2023). Standards for blood banks and transfusion services (35th ed.).</w:t>
        </w:r>
      </w:hyperlink>
    </w:p>
    <w:p>
      <w:pPr>
        <w:pStyle w:val="ListParagraph"/>
      </w:pPr>
      <w:r>
        <w:t>Note: AABB standards (US) are cited for technique only. In India, blood transfusion practice is governed by the Drugs and Cosmetics Act, 1940 and Rules, 1945 (Schedule F, Part XII — blood bank licensing), and by the National Blood Transfusion Council (NBTC) guidelines, which apply alongside AABB as the binding Indian framework.</w:t>
      </w:r>
    </w:p>
    <w:p>
      <w:pPr>
        <w:pStyle w:val="Heading2"/>
      </w:pPr>
      <w:r>
        <w:t>5.2 Identity and order verification</w:t>
      </w:r>
    </w:p>
    <w:p>
      <w:r>
        <w:rPr>
          <w:b/>
          <w:i/>
        </w:rPr>
        <w:t xml:space="preserve">Why this step matters: </w:t>
      </w:r>
      <w:r>
        <w:rPr>
          <w:i/>
        </w:rPr>
        <w:t>A unit of blood given to the wrong patient is one of the most immediately fatal errors in a hospital — the double independent check exists because a single check has failed before, here and elsewhere.</w:t>
      </w:r>
    </w:p>
    <w:p>
      <w:r>
        <w:t>1. Verify the patient's identity using two identifiers, cross-checked against the unit label, by two staff members independently — this double-check is mandatory, every time.</w:t>
      </w:r>
    </w:p>
    <w:p>
      <w:r>
        <w:t>2. Cross-check the patient's blood group against the unit twice before starting the transfusion.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AABB. (2023). Standards for blood banks and transfusion services (35th ed.).</w:t>
        </w:r>
      </w:hyperlink>
    </w:p>
    <w:p>
      <w:pPr>
        <w:pStyle w:val="Heading2"/>
      </w:pPr>
      <w:r>
        <w:t>5.3 During the transfusion</w:t>
      </w:r>
    </w:p>
    <w:p>
      <w:r>
        <w:rPr>
          <w:b/>
          <w:i/>
        </w:rPr>
        <w:t xml:space="preserve">Why this step matters: </w:t>
      </w:r>
      <w:r>
        <w:rPr>
          <w:i/>
        </w:rPr>
        <w:t>A broken cold chain or an unmonitored first 15 minutes is exactly when a transfusion reaction is most likely to start and least likely to be caught in time.</w:t>
      </w:r>
    </w:p>
    <w:p>
      <w:r>
        <w:t>1. Maintain the cold chain until the moment the unit is started.</w:t>
      </w:r>
    </w:p>
    <w:p>
      <w:r>
        <w:t>2. Monitor the patient closely, especially in the first 15 minutes, when most acute reactions present.</w:t>
      </w:r>
    </w:p>
    <w:p>
      <w:r>
        <w:t>3. If any adverse reaction is suspected — fever, chills, rash, breathlessness, back pain — stop the transfusion immediately, keep the line open with normal saline, and call the treating doctor.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AABB. (2023). Standards for blood banks and transfusion services (35th ed.).</w:t>
        </w:r>
      </w:hyperlink>
    </w:p>
    <w:p>
      <w:pPr>
        <w:pStyle w:val="Heading2"/>
      </w:pPr>
      <w:r>
        <w:t>5.4 After a suspected reaction</w:t>
      </w:r>
    </w:p>
    <w:p>
      <w:r>
        <w:rPr>
          <w:b/>
          <w:i/>
        </w:rPr>
        <w:t xml:space="preserve">Why this step matters: </w:t>
      </w:r>
      <w:r>
        <w:rPr>
          <w:i/>
        </w:rPr>
        <w:t>A transfusion reaction that isn't reported and evaluated repeats for the next patient, because nothing was learned from the first one.</w:t>
      </w:r>
    </w:p>
    <w:p>
      <w:r>
        <w:t>1. Report every suspected adverse reaction, evaluate it, and document the evaluation.</w:t>
      </w:r>
    </w:p>
    <w:p>
      <w:r>
        <w:t>2. Apply CAPA for the reaction, and report to the Haemovigilance Programme of India.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National Institute of Biologicals, Government of India. (n.d.). Haemovigilance Programme of India (HvPI).</w:t>
        </w:r>
      </w:hyperlink>
    </w:p>
    <w:p>
      <w:pPr>
        <w:pStyle w:val="Heading1"/>
      </w:pPr>
      <w:r>
        <w:t>6. Stop-Work Authority</w:t>
      </w:r>
    </w:p>
    <w:p>
      <w:r>
        <w:t>Any staff member covered by this SOP has the explicit right to pause or refuse to proceed with an unsafe step described below — this is not a disciplinary matter, even if it later turns out the step would have been fine.</w:t>
      </w:r>
    </w:p>
    <w:p>
      <w:r>
        <w:t>Do not transfuse a unit without completed pre-transfusion testing, or without two-identifier verification cross-checked against the unit. Do not continue a transfusion once an adverse reaction is suspected — stop immediately. Raising an identity mismatch or a testing gap before transfusion begins is not a disciplinary matter.</w:t>
      </w:r>
    </w:p>
    <w:p>
      <w:pPr>
        <w:pStyle w:val="Heading1"/>
      </w:pPr>
      <w:r>
        <w:t>7. Records</w:t>
      </w:r>
    </w:p>
    <w:p>
      <w:r>
        <w:t>Supported by Records 5, 8, 9, 15, and 16 of the COP.8 Required Records pack.</w:t>
      </w:r>
    </w:p>
    <w:p>
      <w:pPr>
        <w:pStyle w:val="Heading1"/>
      </w:pPr>
      <w:r>
        <w:t>8. Related Documents</w:t>
      </w:r>
    </w:p>
    <w:p>
      <w:pPr>
        <w:pStyle w:val="ListParagraph"/>
      </w:pPr>
      <w:r>
        <w:t>Policy on Transfusion Services (HCO/COP/POL/08) — COP.8 policy</w:t>
      </w:r>
    </w:p>
    <w:p>
      <w:pPr>
        <w:pStyle w:val="ListParagraph"/>
      </w:pPr>
      <w:r>
        <w:t>SOP — Blood Donor Selection and Collection (companion SOP for blood bank operations)</w:t>
      </w:r>
    </w:p>
    <w:p>
      <w:pPr>
        <w:pStyle w:val="Heading1"/>
      </w:pPr>
      <w:r>
        <w:t>9. Where This SOP's Requirements Come From (Verified Sources)</w:t>
      </w:r>
    </w:p>
    <w:p>
      <w:pPr>
        <w:pStyle w:val="ListParagraph"/>
      </w:pPr>
      <w:hyperlink r:id="rId11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ListParagraph"/>
      </w:pPr>
      <w:hyperlink r:id="rId12">
        <w:r>
          <w:rPr>
            <w:color w:val="0563C1"/>
            <w:u w:val="single"/>
          </w:rPr>
          <w:t>AABB — Fundamental Standards for Blood Collection and Transfusion (2nd edition)</w:t>
        </w:r>
      </w:hyperlink>
    </w:p>
    <w:p>
      <w:pPr>
        <w:pStyle w:val="ListParagraph"/>
      </w:pPr>
      <w:r>
        <w:t>Drugs and Cosmetics Act, 1940 and Rules, 1945 — Schedule F, Part XII (blood bank licensing and operation) — named source, binding Indian regulation; check directly.</w:t>
      </w:r>
    </w:p>
    <w:p>
      <w:pPr>
        <w:pStyle w:val="ListParagraph"/>
      </w:pPr>
      <w:r>
        <w:t>National Blood Transfusion Council (NBTC) — Guidelines for Blood Transfusion Services in India — named source, no working link could be verified from here; check directly.</w:t>
      </w:r>
    </w:p>
    <w:p>
      <w:pPr>
        <w:pStyle w:val="Heading1"/>
      </w:pPr>
      <w:r>
        <w:t>10. Review</w:t>
      </w:r>
    </w:p>
    <w:p>
      <w:r>
        <w:t>Reviewed annually, and immediately after any serious transfusion reaction or mismatch near-miss.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abb.org/standards-accreditation/standards/blood-banks-and-transfusion-services" TargetMode="External"/><Relationship Id="rId10" Type="http://schemas.openxmlformats.org/officeDocument/2006/relationships/hyperlink" Target="https://www.nib.gov.in/haemovigilance/hvpi_website/hvpi_index.html" TargetMode="External"/><Relationship Id="rId11" Type="http://schemas.openxmlformats.org/officeDocument/2006/relationships/hyperlink" Target="https://portal.nabh.co/images/Standards/NABH%20Hospital%20Accreditation%20Standard%206th%20Edition%20January%202025.pdf" TargetMode="External"/><Relationship Id="rId12" Type="http://schemas.openxmlformats.org/officeDocument/2006/relationships/hyperlink" Target="https://www.aabb.org/standards-accreditation/standards/fundamental-standards-for-blood-collection-and-transfu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