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Staff Personal Information and Records</w:t>
      </w:r>
    </w:p>
    <w:p>
      <w:r>
        <w:t>«Hospital Name» — Supports HRM.10</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maintains staff personal files — what they contain, how confidentiality is protected, how in-service training is recorded, and how evaluation results and remarks are documented. This policy does not cover recruitment, induction, performance appraisal, or staff health and safety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maintains staff personal files — what they contain, how confidentiality is protected, how in-service training is recorded, and how evaluation results and remarks are documented. This policy does not cover recruitment, induction, performance appraisal, or staff health and safety — those are covered in other hospital policies.</w:t>
      </w:r>
    </w:p>
    <w:p>
      <w:pPr>
        <w:pStyle w:val="Heading1"/>
      </w:pPr>
      <w:r>
        <w:t>2. Scope</w:t>
      </w:r>
    </w:p>
    <w:p>
      <w:r>
        <w:t>This policy applies to the personal file of every staff member at «Hospital Name».</w:t>
      </w:r>
    </w:p>
    <w:p>
      <w:pPr>
        <w:pStyle w:val="Heading1"/>
      </w:pPr>
      <w:r>
        <w:t>3. Responsibility</w:t>
      </w:r>
    </w:p>
    <w:p>
      <w:r>
        <w:t xml:space="preserve">HR In-Charge / Personnel Officer: </w:t>
      </w:r>
      <w:r>
        <w:t>owns recruitment, training records, personal files and the day-to-day running of this policy, and keeps the required records current.</w:t>
      </w:r>
    </w:p>
    <w:p>
      <w:r>
        <w:t xml:space="preserve">Medical Superintendent: </w:t>
      </w:r>
      <w:r>
        <w:t>escalation point for any unresolved gap, and approves the workforce plan, contingency plan and credentialing/privileging decisions.</w:t>
      </w:r>
    </w:p>
    <w:p>
      <w:r>
        <w:t xml:space="preserve">Department Heads / Heads of Service: </w:t>
      </w:r>
      <w:r>
        <w:t>identify their own department's staffing, training and credentialing needs, and support this policy's records at department level.</w:t>
      </w:r>
    </w:p>
    <w:p>
      <w:r>
        <w:t xml:space="preserve">Quality Coordinator: </w:t>
      </w:r>
      <w:r>
        <w:t>audits this policy periodically, checks records against the steps below, and flags gaps for corrective action.</w:t>
      </w:r>
    </w:p>
    <w:p>
      <w:pPr>
        <w:pStyle w:val="Heading1"/>
      </w:pPr>
      <w:r>
        <w:t>4. Procedure</w:t>
      </w:r>
    </w:p>
    <w:p>
      <w:pPr>
        <w:pStyle w:val="Heading2"/>
      </w:pPr>
      <w:r>
        <w:t>4.1 Personal file maintenance and confidentiality</w:t>
      </w:r>
    </w:p>
    <w:p>
      <w:r>
        <w:rPr>
          <w:b/>
          <w:i/>
        </w:rPr>
        <w:t xml:space="preserve">Why this step matters: </w:t>
      </w:r>
      <w:r>
        <w:rPr>
          <w:i/>
        </w:rPr>
        <w:t>An incomplete or exposed personal file is both an audit failure and a genuine privacy breach for the staff member it belongs to. NABH checks this as part of how a genuinely competent, safe workforce is actually built and kept, not just what's written about it.</w:t>
      </w:r>
    </w:p>
    <w:p>
      <w:r>
        <w:t>1. A personal file is maintained for every staff member, kept current and updated — electronic format is acceptable.</w:t>
      </w:r>
    </w:p>
    <w:p>
      <w:r>
        <w:t>2. Confidentiality is actively maintained: access to a personal file is restricted to those with a genuine need, not open to any staff member who asks. (Record 1)</w:t>
      </w:r>
    </w:p>
    <w:p>
      <w:pPr>
        <w:pStyle w:val="Heading2"/>
      </w:pPr>
      <w:r>
        <w:t>4.2 Personal file content</w:t>
      </w:r>
    </w:p>
    <w:p>
      <w:r>
        <w:rPr>
          <w:b/>
          <w:i/>
        </w:rPr>
        <w:t xml:space="preserve">Why this step matters: </w:t>
      </w:r>
      <w:r>
        <w:rPr>
          <w:i/>
        </w:rPr>
        <w:t>A personal file missing any one of these four elements is exactly what an assessor — or a legal dispute — checks for first. NABH checks this as part of how a genuinely competent, safe workforce is actually built and kept, not just what's written about it.</w:t>
      </w:r>
    </w:p>
    <w:p>
      <w:r>
        <w:t>1. Each personal file contains the staff member's qualification records, job description, verification of credentials, and health status.</w:t>
      </w:r>
    </w:p>
    <w:p>
      <w:r>
        <w:t>2. A file missing any one of these four elements is treated as incomplete and is chased to completion, not left as is. (Record 2)</w:t>
      </w:r>
    </w:p>
    <w:p>
      <w:pPr>
        <w:pStyle w:val="Heading2"/>
      </w:pPr>
      <w:r>
        <w:t>4.3 In-service training records</w:t>
      </w:r>
    </w:p>
    <w:p>
      <w:r>
        <w:rPr>
          <w:b/>
          <w:i/>
        </w:rPr>
        <w:t xml:space="preserve">Why this step matters: </w:t>
      </w:r>
      <w:r>
        <w:rPr>
          <w:i/>
        </w:rPr>
        <w:t>Training with no traceable record in, or linked to, the personal file can't be shown to have actually happened for that specific staff member. NABH checks this as part of how a genuinely competent, safe workforce is actually built and kept, not just what's written about it.</w:t>
      </w:r>
    </w:p>
    <w:p>
      <w:r>
        <w:t>1. For internal training, an annual summary of all sessions attended is filed in the personal file, backed by a supporting document (hard or soft copy) that actually verifies attendance.</w:t>
      </w:r>
    </w:p>
    <w:p>
      <w:r>
        <w:t>2. Where training records are held elsewhere (for example a central training log), the personal file carries a clear traceability reference to where they can be found.</w:t>
      </w:r>
    </w:p>
    <w:p>
      <w:r>
        <w:t>3. Electronic training records are acceptable, provided they remain retrievable for as long as the personal file itself is retained. (Record 3)</w:t>
      </w:r>
    </w:p>
    <w:p>
      <w:pPr>
        <w:pStyle w:val="Heading2"/>
      </w:pPr>
      <w:r>
        <w:t>4.4 Evaluation results and remarks</w:t>
      </w:r>
    </w:p>
    <w:p>
      <w:r>
        <w:rPr>
          <w:b/>
          <w:i/>
        </w:rPr>
        <w:t xml:space="preserve">Why this step matters: </w:t>
      </w:r>
      <w:r>
        <w:rPr>
          <w:i/>
        </w:rPr>
        <w:t>A file with no appraisal, training-assessment or health-check outcomes on record can't demonstrate the staff member was actually being managed, not just employed. NABH checks this as part of how a genuinely competent, safe workforce is actually built and kept, not just what's written about it.</w:t>
      </w:r>
    </w:p>
    <w:p>
      <w:r>
        <w:t>1. Personal files contain the results of every evaluation: performance appraisals, training assessments, and health-check outcomes.</w:t>
      </w:r>
    </w:p>
    <w:p>
      <w:r>
        <w:t>2. They also contain records of achievement, appreciation, complaint, warning or memo — the full evaluative history, not only the positive entries. (Record 4)</w:t>
      </w:r>
    </w:p>
    <w:p>
      <w:pPr>
        <w:pStyle w:val="Heading1"/>
      </w:pPr>
      <w:r>
        <w:t>5. Records</w:t>
      </w:r>
    </w:p>
    <w:p>
      <w:r>
        <w:t>This SOP produces and maintains Records 1 through 4 (see the HRM.10 Records folder).</w:t>
      </w:r>
    </w:p>
    <w:p>
      <w:pPr>
        <w:pStyle w:val="Heading1"/>
      </w:pPr>
      <w:r>
        <w:t>6. Related Documents</w:t>
      </w:r>
    </w:p>
    <w:p>
      <w:pPr>
        <w:pStyle w:val="ListParagraph"/>
      </w:pPr>
      <w:r>
        <w:t>Policy on Staff Personal Information and Records (HCO/HRM/POL/10) — this policy</w:t>
      </w:r>
    </w:p>
    <w:p>
      <w:pPr>
        <w:pStyle w:val="ListParagraph"/>
      </w:pPr>
      <w:r>
        <w:t>Required Records — HRM.10 (see HRM.10 Records folder)</w:t>
      </w:r>
    </w:p>
    <w:p>
      <w:pPr>
        <w:pStyle w:val="Heading1"/>
      </w:pPr>
      <w:r>
        <w:t>7. Where This SOP's Requirements Come From (Verified Sources)</w:t>
      </w:r>
    </w:p>
    <w:p>
      <w:pPr>
        <w:pStyle w:val="ListParagraph"/>
      </w:pPr>
      <w:hyperlink r:id="rId9">
        <w:r>
          <w:rPr>
            <w:rStyle w:val="Hyperlink"/>
            <w:i/>
          </w:rPr>
          <w:t>National Accreditation Board for Hospitals and Healthcare Providers. (2025). NABH accreditation standards for hospitals (6th ed.), HRM.10. ISBN 978-81-965264-9-8. https://portal.nabh.co/images/Standards/NABH%20Hospital%20Accreditation%20Standard%206th%20Edition%20January%202025.pdf</w:t>
        </w:r>
      </w:hyperlink>
    </w:p>
    <w:p>
      <w:pPr>
        <w:pStyle w:val="Heading1"/>
      </w:pPr>
      <w:r>
        <w:t>8.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