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Credentialing and Privileging of Medical Professionals</w:t>
      </w:r>
    </w:p>
    <w:p>
      <w:r>
        <w:t>«Hospital Name» — Supports HRM.11</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This policy sets out how «Hospital Name» identifies medical professionals permitted to provide unsupervised patient care, documents and verifies their credentials, grants and communicates their privileges, and ensures they practise within those privileges. This policy does not cover recruitment, induction, safety and quality training, or staff health and safety — those are covered in other hospital policies. If you're new to this SOP, the short version is: follow the numbered steps below in order — they exist because skipping one of them is exactly how an unqualified, unverified or unsupervised member of staff ends up providing care they were never checked or authorised for.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policy sets out how «Hospital Name» identifies medical professionals permitted to provide unsupervised patient care, documents and verifies their credentials, grants and communicates their privileges, and ensures they practise within those privileges. This policy does not cover recruitment, induction, safety and quality training, or staff health and safety — those are covered in other hospital policies.</w:t>
      </w:r>
    </w:p>
    <w:p>
      <w:pPr>
        <w:pStyle w:val="Heading1"/>
      </w:pPr>
      <w:r>
        <w:t>2. Scope</w:t>
      </w:r>
    </w:p>
    <w:p>
      <w:r>
        <w:t>This policy applies to all medical professionals at «Hospital Name» permitted by law, regulation and the organisation to provide patient care without supervision.</w:t>
      </w:r>
    </w:p>
    <w:p>
      <w:pPr>
        <w:pStyle w:val="Heading1"/>
      </w:pPr>
      <w:r>
        <w:t>3. Responsibility</w:t>
      </w:r>
    </w:p>
    <w:p>
      <w:r>
        <w:t xml:space="preserve">HR In-Charge / Personnel Officer: </w:t>
      </w:r>
      <w:r>
        <w:t>owns recruitment, training records, personal files and the day-to-day running of this policy, and keeps the required records current.</w:t>
      </w:r>
    </w:p>
    <w:p>
      <w:r>
        <w:t xml:space="preserve">Medical Superintendent: </w:t>
      </w:r>
      <w:r>
        <w:t>escalation point for any unresolved gap, and approves the workforce plan, contingency plan and credentialing/privileging decisions.</w:t>
      </w:r>
    </w:p>
    <w:p>
      <w:r>
        <w:t xml:space="preserve">Department Heads / Heads of Service: </w:t>
      </w:r>
      <w:r>
        <w:t>identify their own department's staffing, training and credentialing needs, and support this policy's records at department level.</w:t>
      </w:r>
    </w:p>
    <w:p>
      <w:r>
        <w:t xml:space="preserve">Quality Coordinator: </w:t>
      </w:r>
      <w:r>
        <w:t>audits this policy periodically, checks records against the steps below, and flags gaps for corrective action.</w:t>
      </w:r>
    </w:p>
    <w:p>
      <w:pPr>
        <w:pStyle w:val="Heading1"/>
      </w:pPr>
      <w:r>
        <w:t>4. Plain-Language Glossary</w:t>
      </w:r>
    </w:p>
    <w:p>
      <w:r>
        <w:t>If a word below is unfamiliar, this is what it means in this SOP:</w:t>
      </w:r>
    </w:p>
    <w:p>
      <w:pPr>
        <w:pStyle w:val="ListParagraph"/>
      </w:pPr>
      <w:r>
        <w:rPr>
          <w:b/>
        </w:rPr>
        <w:t xml:space="preserve">National Medical Commission (NMC): </w:t>
      </w:r>
      <w:r>
        <w:t>India's statutory regulator for medical education and doctor registration — its Indian Medical Register is the reference point for verifying a doctor's registration.</w:t>
      </w:r>
    </w:p>
    <w:p>
      <w:pPr>
        <w:pStyle w:val="ListParagraph"/>
      </w:pPr>
      <w:r>
        <w:rPr>
          <w:b/>
        </w:rPr>
        <w:t xml:space="preserve">Stop-work trigger: </w:t>
      </w:r>
      <w:r>
        <w:t>A defined situation serious enough that the activity must stop immediately until it's resolved — here, patient care given outside a professional's identified or privileged scope.</w:t>
      </w:r>
    </w:p>
    <w:p>
      <w:pPr>
        <w:pStyle w:val="Heading1"/>
      </w:pPr>
      <w:r>
        <w:t>5. Procedure</w:t>
      </w:r>
    </w:p>
    <w:p>
      <w:pPr>
        <w:pStyle w:val="Heading2"/>
      </w:pPr>
      <w:r>
        <w:t>5.1 Identification of permitted professionals</w:t>
      </w:r>
    </w:p>
    <w:p>
      <w:r>
        <w:rPr>
          <w:b/>
          <w:i/>
        </w:rPr>
        <w:t xml:space="preserve">Why this step matters: </w:t>
      </w:r>
      <w:r>
        <w:rPr>
          <w:i/>
        </w:rPr>
        <w:t>Unsupervised patient care from a doctor never actually confirmed to be qualified for it is the single biggest patient-safety risk this whole policy exists to prevent — NABH makes this a stop-work trigger, not a paperwork item. This is a CORE requirement — NABH treats it as non-negotiable, not aspirational.</w:t>
      </w:r>
    </w:p>
    <w:p>
      <w:r>
        <w:t>1. Medical professionals permitted by law, regulation and the organisation to provide patient care without supervision are individually identified and listed — not left as an assumed category.</w:t>
      </w:r>
    </w:p>
    <w:p>
      <w:r>
        <w:t>2. Each identified individual has the required qualification(s), training and experience confirmed, in consonance with the law.</w:t>
      </w:r>
    </w:p>
    <w:p>
      <w:r>
        <w:t>3. Providing unsupervised patient care outside this identified list is treated as a stop-work trigger under Section 6 of this policy, not a minor deviation. (Records 1–2)</w:t>
      </w:r>
    </w:p>
    <w:p>
      <w:pPr>
        <w:pStyle w:val="Heading2"/>
      </w:pPr>
      <w:r>
        <w:t>5.2 Credential documentation</w:t>
      </w:r>
    </w:p>
    <w:p>
      <w:r>
        <w:rPr>
          <w:b/>
          <w:i/>
        </w:rPr>
        <w:t xml:space="preserve">Why this step matters: </w:t>
      </w:r>
      <w:r>
        <w:rPr>
          <w:i/>
        </w:rPr>
        <w:t>A credential that was true on the day of hiring but never updated after a new qualification is a personal file quietly going stale. NABH checks this as part of how a genuinely competent, safe workforce is actually built and kept, not just what's written about it.</w:t>
      </w:r>
    </w:p>
    <w:p>
      <w:r>
        <w:t>1. The education, registration, training and experience of every identified medical professional is documented and kept in their personal file.</w:t>
      </w:r>
    </w:p>
    <w:p>
      <w:r>
        <w:t>2. This documentation is updated after the acquisition of any new skill or qualification, not left as a one-time record from the date of joining. (Record 3)</w:t>
      </w:r>
    </w:p>
    <w:p>
      <w:pPr>
        <w:pStyle w:val="Heading2"/>
      </w:pPr>
      <w:r>
        <w:t>5.3 Credential verification</w:t>
      </w:r>
    </w:p>
    <w:p>
      <w:r>
        <w:rPr>
          <w:b/>
          <w:i/>
        </w:rPr>
        <w:t xml:space="preserve">Why this step matters: </w:t>
      </w:r>
      <w:r>
        <w:rPr>
          <w:i/>
        </w:rPr>
        <w:t>A claimed qualification that was never actually checked with the awarding body — the National Medical Commission's register, for a doctor — is exactly the gap a forged or lapsed credential hides in. NABH checks this as part of how a genuinely competent, safe workforce is actually built and kept, not just what's written about it.</w:t>
      </w:r>
    </w:p>
    <w:p>
      <w:r>
        <w:t>1. Information about each medical professional is verified with the organisation that actually awarded the qualification or training, wherever this is possible — see the technical source below for the verification principle this follows.</w:t>
      </w:r>
    </w:p>
    <w:p>
      <w:r>
        <w:t>2. The National Medical Commission's public register is checked as a reference point for verifying registration — see the technical source below. (Record 4)</w:t>
      </w:r>
    </w:p>
    <w:p>
      <w:r>
        <w:rPr>
          <w:b/>
          <w:i/>
          <w:sz w:val="18"/>
        </w:rPr>
        <w:t xml:space="preserve">Technical source(s) for these steps: </w:t>
      </w:r>
    </w:p>
    <w:p>
      <w:pPr>
        <w:pStyle w:val="ListParagraph"/>
      </w:pPr>
      <w:hyperlink r:id="rId9">
        <w:r>
          <w:rPr>
            <w:color w:val="0563C1"/>
            <w:u w:val="single"/>
          </w:rPr>
          <w:t>The Joint Commission. Primary Source Verification (white paper).</w:t>
        </w:r>
      </w:hyperlink>
    </w:p>
    <w:p>
      <w:pPr>
        <w:pStyle w:val="ListParagraph"/>
      </w:pPr>
      <w:hyperlink r:id="rId10">
        <w:r>
          <w:rPr>
            <w:color w:val="0563C1"/>
            <w:u w:val="single"/>
          </w:rPr>
          <w:t>National Medical Commission. Indian Medical Register — verification of registered doctors.</w:t>
        </w:r>
      </w:hyperlink>
    </w:p>
    <w:p>
      <w:r>
        <w:t>Note: The Joint Commission's primary-source-verification concept is cited as a methodology reference, not as the verification route itself. In India, the operative primary-source check for a doctor's registration runs through the National Medical Commission's Indian Medical Register, cited above.</w:t>
      </w:r>
    </w:p>
    <w:p>
      <w:pPr>
        <w:pStyle w:val="Heading2"/>
      </w:pPr>
      <w:r>
        <w:t>5.4 Granting of privileges</w:t>
      </w:r>
    </w:p>
    <w:p>
      <w:r>
        <w:rPr>
          <w:b/>
          <w:i/>
        </w:rPr>
        <w:t xml:space="preserve">Why this step matters: </w:t>
      </w:r>
      <w:r>
        <w:rPr>
          <w:i/>
        </w:rPr>
        <w:t>A doctor practising beyond what they're actually privileged for — radiotherapy given by someone who isn't a radiation oncologist, for instance — is a direct patient-safety failure, which is why NABH makes this a stop-work trigger too. This is a CORE requirement — NABH treats it as non-negotiable, not aspirational.</w:t>
      </w:r>
    </w:p>
    <w:p>
      <w:r>
        <w:t>1. Privileges to admit and care for patients are granted in consonance with the professional's qualification, training, experience and registration.</w:t>
      </w:r>
    </w:p>
    <w:p>
      <w:r>
        <w:t>2. The clinical services each professional is authorised to perform are individually identified — for example, radiotherapy is authorised only for a radiation oncologist, not any doctor.</w:t>
      </w:r>
    </w:p>
    <w:p>
      <w:r>
        <w:t>3. Privileges are reviewed at least annually and revised where necessary, not granted once and left unreviewed indefinitely.</w:t>
      </w:r>
    </w:p>
    <w:p>
      <w:r>
        <w:t>4. Granting or exercising a privilege outside this record is treated as a stop-work trigger under Section 6. (Records 5–6)</w:t>
      </w:r>
    </w:p>
    <w:p>
      <w:pPr>
        <w:pStyle w:val="Heading2"/>
      </w:pPr>
      <w:r>
        <w:t>5.5 Communication of privileges</w:t>
      </w:r>
    </w:p>
    <w:p>
      <w:r>
        <w:rPr>
          <w:b/>
          <w:i/>
        </w:rPr>
        <w:t xml:space="preserve">Why this step matters: </w:t>
      </w:r>
      <w:r>
        <w:rPr>
          <w:i/>
        </w:rPr>
        <w:t>If the front desk or the operation theatre doesn't actually know what a doctor is privileged for, they can't enforce the boundary NABH just required be set. NABH checks this as part of how a genuinely competent, safe workforce is actually built and kept, not just what's written about it.</w:t>
      </w:r>
    </w:p>
    <w:p>
      <w:r>
        <w:t>1. The requisite services each medical professional is authorised to provide are communicated to that professional directly, in writing.</w:t>
      </w:r>
    </w:p>
    <w:p>
      <w:r>
        <w:t>2. The same information is communicated to the relevant departments — for example the front desk is informed of a professional's admission rights, and the operation theatre is informed of their surgical rights.</w:t>
      </w:r>
    </w:p>
    <w:p>
      <w:r>
        <w:t>3. Communication covers both inclusions and exclusions — what the professional is and is not authorised to do. (Record 7)</w:t>
      </w:r>
    </w:p>
    <w:p>
      <w:pPr>
        <w:pStyle w:val="Heading2"/>
      </w:pPr>
      <w:r>
        <w:t>5.6 Practising within privileges</w:t>
      </w:r>
    </w:p>
    <w:p>
      <w:r>
        <w:rPr>
          <w:b/>
          <w:i/>
        </w:rPr>
        <w:t xml:space="preserve">Why this step matters: </w:t>
      </w:r>
      <w:r>
        <w:rPr>
          <w:i/>
        </w:rPr>
        <w:t>A privileging record means nothing if practice on the ward doesn't actually stay inside it — this is the check that confirms it does, not just that the paperwork exists. NABH checks this as part of how a genuinely competent, safe workforce is actually built and kept, not just what's written about it.</w:t>
      </w:r>
    </w:p>
    <w:p>
      <w:r>
        <w:t>1. Medical professionals admit and care for patients strictly as per their granted privileging, using a standardised privileging format applied uniformly across the hospital.</w:t>
      </w:r>
    </w:p>
    <w:p>
      <w:r>
        <w:t>2. A new faculty member works under proctorship until independent privileges are formally granted, not given unsupervised privileges from day one.</w:t>
      </w:r>
    </w:p>
    <w:p>
      <w:r>
        <w:t>3. A mechanism actively confirms that professionals are providing only the services they are privileged for — this is checked, not assumed. (Records 8–10)</w:t>
      </w:r>
    </w:p>
    <w:p>
      <w:pPr>
        <w:pStyle w:val="Heading1"/>
      </w:pPr>
      <w:r>
        <w:t>6. Records</w:t>
      </w:r>
    </w:p>
    <w:p>
      <w:r>
        <w:t>This SOP produces and maintains Records 1 through 10 (see the HRM.11 Records folder).</w:t>
      </w:r>
    </w:p>
    <w:p>
      <w:pPr>
        <w:pStyle w:val="Heading1"/>
      </w:pPr>
      <w:r>
        <w:t>7. Related Documents</w:t>
      </w:r>
    </w:p>
    <w:p>
      <w:pPr>
        <w:pStyle w:val="ListParagraph"/>
      </w:pPr>
      <w:r>
        <w:t>Policy on Credentialing and Privileging of Medical Professionals (HCO/HRM/POL/11) — this policy</w:t>
      </w:r>
    </w:p>
    <w:p>
      <w:pPr>
        <w:pStyle w:val="ListParagraph"/>
      </w:pPr>
      <w:r>
        <w:t>Required Records — HRM.11 (see HRM.11 Records folder)</w:t>
      </w:r>
    </w:p>
    <w:p>
      <w:pPr>
        <w:pStyle w:val="Heading1"/>
      </w:pPr>
      <w:r>
        <w:t>8. Where This SOP's Requirements Come From (Verified Sources)</w:t>
      </w:r>
    </w:p>
    <w:p>
      <w:pPr>
        <w:pStyle w:val="ListParagraph"/>
      </w:pPr>
      <w:hyperlink r:id="rId11">
        <w:r>
          <w:rPr>
            <w:rStyle w:val="Hyperlink"/>
            <w:i/>
          </w:rPr>
          <w:t>National Accreditation Board for Hospitals and Healthcare Providers. (2025). NABH accreditation standards for hospitals (6th ed.), HRM.11. ISBN 978-81-965264-9-8. https://portal.nabh.co/images/Standards/NABH%20Hospital%20Accreditation%20Standard%206th%20Edition%20January%202025.pdf</w:t>
        </w:r>
      </w:hyperlink>
    </w:p>
    <w:p>
      <w:pPr>
        <w:pStyle w:val="Heading1"/>
      </w:pPr>
      <w:r>
        <w:t>9. Review</w:t>
      </w:r>
    </w:p>
    <w:p>
      <w:r>
        <w:t>This SOP is reviewed at least annually by the Quality Coordinator together with the HR In-Charge, and immediately if an incident, audit or credentialing gap finds it isn't working as written.</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jointcommission.org/en/products-and-services/publications/white-papers/primary-source-verification" TargetMode="External"/><Relationship Id="rId10" Type="http://schemas.openxmlformats.org/officeDocument/2006/relationships/hyperlink" Target="https://www.nmc.org.in/information-desk/indian-medical-register/" TargetMode="External"/><Relationship Id="rId11" Type="http://schemas.openxmlformats.org/officeDocument/2006/relationships/hyperlink" Target="https://portal.nabh.co/images/Standards/NABH%20Hospital%20Accreditation%20Standard%206th%20Edition%20January%2020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