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Staff Induction Training</w:t>
      </w:r>
    </w:p>
    <w:p>
      <w:r>
        <w:t>«Hospital Name» — Supports HRM.3</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what induction training covers at «Hospital Name» and when it is completed. This policy does not cover ongoing professional training, job-specific clinical training, or performance appraisal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what induction training covers at «Hospital Name» and when it is completed. This policy does not cover ongoing professional training, job-specific clinical training, or performance appraisal — those are covered in other hospital policies.</w:t>
      </w:r>
    </w:p>
    <w:p>
      <w:pPr>
        <w:pStyle w:val="Heading1"/>
      </w:pPr>
      <w:r>
        <w:t>2. Scope</w:t>
      </w:r>
    </w:p>
    <w:p>
      <w:r>
        <w:t>This policy applies to the HR In-Charge / Personnel Officer, department heads, and every staff member, consultant, outsourced worker, volunteer, student and trainee joining «Hospital Name».</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BLS (Basic Life Support): </w:t>
      </w:r>
      <w:r>
        <w:t>The foundation-level cardiopulmonary resuscitation course every direct-patient-care category should hold — recognises cardiac arrest and starts effective CPR before advanced help arrives.</w:t>
      </w:r>
    </w:p>
    <w:p>
      <w:pPr>
        <w:pStyle w:val="ListParagraph"/>
      </w:pPr>
      <w:r>
        <w:rPr>
          <w:b/>
        </w:rPr>
        <w:t xml:space="preserve">ACLS (Advanced Cardiovascular Life Support): </w:t>
      </w:r>
      <w:r>
        <w:t>The advanced-level resuscitation course for doctors and nurses managing adult cardiac arrest and peri-arrest emergencies, typically required in ICU/emergency settings.</w:t>
      </w:r>
    </w:p>
    <w:p>
      <w:pPr>
        <w:pStyle w:val="ListParagraph"/>
      </w:pPr>
      <w:r>
        <w:rPr>
          <w:b/>
        </w:rPr>
        <w:t xml:space="preserve">PALS (Pediatric Advanced Life Support): </w:t>
      </w:r>
      <w:r>
        <w:t>The advanced-level resuscitation course for managing a child in cardiac or respiratory arrest.</w:t>
      </w:r>
    </w:p>
    <w:p>
      <w:pPr>
        <w:pStyle w:val="ListParagraph"/>
      </w:pPr>
      <w:r>
        <w:rPr>
          <w:b/>
        </w:rPr>
        <w:t xml:space="preserve">NRP (Neonatal Resuscitation Program): </w:t>
      </w:r>
      <w:r>
        <w:t>The advanced-level resuscitation course for managing a newborn who fails to breathe or maintain circulation at birth.</w:t>
      </w:r>
    </w:p>
    <w:p>
      <w:pPr>
        <w:pStyle w:val="Heading1"/>
      </w:pPr>
      <w:r>
        <w:t>5. Procedure</w:t>
      </w:r>
    </w:p>
    <w:p>
      <w:pPr>
        <w:pStyle w:val="Heading2"/>
      </w:pPr>
      <w:r>
        <w:t>5.1 Provide induction within one month</w:t>
      </w:r>
    </w:p>
    <w:p>
      <w:r>
        <w:rPr>
          <w:b/>
          <w:i/>
        </w:rPr>
        <w:t xml:space="preserve">Why this step matters: </w:t>
      </w:r>
      <w:r>
        <w:rPr>
          <w:i/>
        </w:rPr>
        <w:t>A new staff member with no induction is operating inside the hospital blind on its rights, safety practices and their own specific duties during their first, highest-risk month — NABH treats this as CORE. This is a CORE requirement — NABH treats it as non-negotiable, not aspirational.</w:t>
      </w:r>
    </w:p>
    <w:p>
      <w:r>
        <w:t>1. Induction training is provided to every category of staff — doctors, consultants including visiting consultants, outsourced staff, volunteers, students and trainees.</w:t>
      </w:r>
    </w:p>
    <w:p>
      <w:r>
        <w:t>2. It is oriented both to the hospital as a whole and to the person's specific assignment, and is completed within one month of joining.</w:t>
      </w:r>
    </w:p>
    <w:p>
      <w:r>
        <w:t>3. It covers every topic in 5.2 through 5.9 below — none are optional add-ons.</w:t>
      </w:r>
    </w:p>
    <w:p>
      <w:r>
        <w:t>4. The HR In-Charge / Personnel Officer keeps the training record; content may be issued as a booklet, and department-level induction can run alongside the organisational session. (Records 1–3)</w:t>
      </w:r>
    </w:p>
    <w:p>
      <w:pPr>
        <w:pStyle w:val="Heading2"/>
      </w:pPr>
      <w:r>
        <w:t>5.2 Orient to vision, mission and values</w:t>
      </w:r>
    </w:p>
    <w:p>
      <w:r>
        <w:rPr>
          <w:b/>
          <w:i/>
        </w:rPr>
        <w:t xml:space="preserve">Why this step matters: </w:t>
      </w:r>
      <w:r>
        <w:rPr>
          <w:i/>
        </w:rPr>
        <w:t>Staff who don't actually know what the hospital stands for can't align their day-to-day decisions with it — awareness has to be real, not just delivered once and assumed. NABH checks this as part of how a genuinely competent, safe workforce is actually built and kept, not just what's written about it.</w:t>
      </w:r>
    </w:p>
    <w:p>
      <w:r>
        <w:t>1. Induction covers the hospital's vision, mission and values, explained in plain terms, not just read out from a wall poster.</w:t>
      </w:r>
    </w:p>
    <w:p>
      <w:r>
        <w:t>2. Outsourced staff receive this orientation too, not just directly employed staff.</w:t>
      </w:r>
    </w:p>
    <w:p>
      <w:r>
        <w:t>3. Understanding is checked, not assumed — for example by asking the trainee to explain in their own words what the values mean for their daily work. (Records 4–5)</w:t>
      </w:r>
    </w:p>
    <w:p>
      <w:pPr>
        <w:pStyle w:val="Heading2"/>
      </w:pPr>
      <w:r>
        <w:t>5.3 Cover staff and patient rights</w:t>
      </w:r>
    </w:p>
    <w:p>
      <w:r>
        <w:rPr>
          <w:b/>
          <w:i/>
        </w:rPr>
        <w:t xml:space="preserve">Why this step matters: </w:t>
      </w:r>
      <w:r>
        <w:rPr>
          <w:i/>
        </w:rPr>
        <w:t>A staff member who can't recognise a patient-rights violation can't report one — this element closes that specific gap at induction, before it's ever tested for real. NABH checks this as part of how a genuinely competent, safe workforce is actually built and kept, not just what's written about it.</w:t>
      </w:r>
    </w:p>
    <w:p>
      <w:r>
        <w:t>1. Induction covers staff rights and responsibilities, and separately, patient rights and responsibilities.</w:t>
      </w:r>
    </w:p>
    <w:p>
      <w:r>
        <w:t>2. Staff are trained to recognise what a violation of patient rights actually looks like in practice, not just told the rights exist.</w:t>
      </w:r>
    </w:p>
    <w:p>
      <w:r>
        <w:t>3. Staff are trained on how to report a violation of patient rights when they see one, including who to report it to. (Records 6–7)</w:t>
      </w:r>
    </w:p>
    <w:p>
      <w:pPr>
        <w:pStyle w:val="Heading2"/>
      </w:pPr>
      <w:r>
        <w:t>5.4 Train on safety</w:t>
      </w:r>
    </w:p>
    <w:p>
      <w:r>
        <w:rPr>
          <w:b/>
          <w:i/>
        </w:rPr>
        <w:t xml:space="preserve">Why this step matters: </w:t>
      </w:r>
      <w:r>
        <w:rPr>
          <w:i/>
        </w:rPr>
        <w:t>New staff facing an emergency code they were never actually told about is exactly the failure this element exists to prevent, from day one. NABH checks this as part of how a genuinely competent, safe workforce is actually built and kept, not just what's written about it.</w:t>
      </w:r>
    </w:p>
    <w:p>
      <w:r>
        <w:t>1. Induction covers patient, visitor and staff safety as a single connected topic, not three separate afterthoughts.</w:t>
      </w:r>
    </w:p>
    <w:p>
      <w:r>
        <w:t>2. It includes the hospital's emergency codes (for example the code used for fire, for a security threat, for cardiac arrest) so a new staff member can recognise and respond to a code from day one. (Records 8–9)</w:t>
      </w:r>
    </w:p>
    <w:p>
      <w:pPr>
        <w:pStyle w:val="Heading2"/>
      </w:pPr>
      <w:r>
        <w:t>5.5 Train on CPR</w:t>
      </w:r>
    </w:p>
    <w:p>
      <w:r>
        <w:rPr>
          <w:b/>
          <w:i/>
        </w:rPr>
        <w:t xml:space="preserve">Why this step matters: </w:t>
      </w:r>
      <w:r>
        <w:rPr>
          <w:i/>
        </w:rPr>
        <w:t>Every direct-care category needs at least basic life support, and ICU/HDU staff need the advanced version — a new staff member with neither can't respond to a cardiac arrest they may face in their first week. NABH checks this as part of how a genuinely competent, safe workforce is actually built and kept, not just what's written about it.</w:t>
      </w:r>
    </w:p>
    <w:p>
      <w:r>
        <w:t>1. At minimum, doctors, nursing staff, technologists and rehabilitation staff are trained to Basic Life Support (BLS) level as part of induction — see the technical source below.</w:t>
      </w:r>
    </w:p>
    <w:p>
      <w:r>
        <w:t>2. Doctors and nurses working in intensive care or high-dependency units additionally complete advanced training appropriate to their unit — for example ACLS, PALS or NRP, or an equivalent recognised course.</w:t>
      </w:r>
    </w:p>
    <w:p>
      <w:r>
        <w:t>3. A staff member who already holds a valid, current certificate is not required to repeat the course; the certificate itself is checked and filed instead. (Records 10–11)</w:t>
      </w:r>
    </w:p>
    <w:p>
      <w:r>
        <w:rPr>
          <w:b/>
          <w:i/>
          <w:sz w:val="18"/>
        </w:rPr>
        <w:t xml:space="preserve">Technical source(s) for these steps: </w:t>
      </w:r>
    </w:p>
    <w:p>
      <w:pPr>
        <w:pStyle w:val="ListParagraph"/>
      </w:pPr>
      <w:hyperlink r:id="rId9">
        <w:r>
          <w:rPr>
            <w:color w:val="0563C1"/>
            <w:u w:val="single"/>
          </w:rPr>
          <w:t>American Heart Association. Basic Life Support (BLS) Training for Healthcare Professionals.</w:t>
        </w:r>
      </w:hyperlink>
    </w:p>
    <w:p>
      <w:pPr>
        <w:pStyle w:val="ListParagraph"/>
      </w:pPr>
      <w:hyperlink r:id="rId10">
        <w:r>
          <w:rPr>
            <w:color w:val="0563C1"/>
            <w:u w:val="single"/>
          </w:rPr>
          <w:t>American Academy of Pediatrics. Neonatal Resuscitation Program (NRP).</w:t>
        </w:r>
      </w:hyperlink>
    </w:p>
    <w:p>
      <w:pPr>
        <w:pStyle w:val="Heading2"/>
      </w:pPr>
      <w:r>
        <w:t>5.6 Train on infection prevention and control</w:t>
      </w:r>
    </w:p>
    <w:p>
      <w:r>
        <w:rPr>
          <w:b/>
          <w:i/>
        </w:rPr>
        <w:t xml:space="preserve">Why this step matters: </w:t>
      </w:r>
      <w:r>
        <w:rPr>
          <w:i/>
        </w:rPr>
        <w:t>New staff practising without any IPC awareness are a transmission risk from their very first shift. NABH checks this as part of how a genuinely competent, safe workforce is actually built and kept, not just what's written about it.</w:t>
      </w:r>
    </w:p>
    <w:p>
      <w:r>
        <w:t>1. Induction includes training on the hospital's infection prevention and control policies, procedures and practices — see the technical source below for the framework this training is built on.</w:t>
      </w:r>
    </w:p>
    <w:p>
      <w:r>
        <w:t>2. Training is specific to the hospital's own IPC programme, not a generic hygiene talk. (Record 12)</w:t>
      </w:r>
    </w:p>
    <w:p>
      <w:r>
        <w:rPr>
          <w:b/>
          <w:i/>
          <w:sz w:val="18"/>
        </w:rPr>
        <w:t xml:space="preserve">Technical source(s) for these steps: </w:t>
      </w:r>
    </w:p>
    <w:p>
      <w:pPr>
        <w:pStyle w:val="ListParagraph"/>
      </w:pPr>
      <w:hyperlink r:id="rId11">
        <w:r>
          <w:rPr>
            <w:color w:val="0563C1"/>
            <w:u w:val="single"/>
          </w:rPr>
          <w:t>World Health Organization. (2018). Guidelines on Core Components of Infection Prevention and Control Programmes.</w:t>
        </w:r>
      </w:hyperlink>
    </w:p>
    <w:p>
      <w:pPr>
        <w:pStyle w:val="Heading2"/>
      </w:pPr>
      <w:r>
        <w:t>5.7 Orient to service standards</w:t>
      </w:r>
    </w:p>
    <w:p>
      <w:r>
        <w:rPr>
          <w:b/>
          <w:i/>
        </w:rPr>
        <w:t xml:space="preserve">Why this step matters: </w:t>
      </w:r>
      <w:r>
        <w:rPr>
          <w:i/>
        </w:rPr>
        <w:t>Staff who were never actually trained to the hospital's own service standard end up delivering an inconsistent patient experience without knowing it. NABH checks this as part of how a genuinely competent, safe workforce is actually built and kept, not just what's written about it.</w:t>
      </w:r>
    </w:p>
    <w:p>
      <w:r>
        <w:t>1. Induction includes orientation to the hospital's service standards, explained with real examples relevant to the trainee's own role.</w:t>
      </w:r>
    </w:p>
    <w:p>
      <w:r>
        <w:t>2. Staff are trained on how to actually implement the standards day to day, not just told what they are. (Record 13)</w:t>
      </w:r>
    </w:p>
    <w:p>
      <w:pPr>
        <w:pStyle w:val="Heading2"/>
      </w:pPr>
      <w:r>
        <w:t>5.8 Orient to administrative and department-level procedures</w:t>
      </w:r>
    </w:p>
    <w:p>
      <w:r>
        <w:rPr>
          <w:b/>
          <w:i/>
        </w:rPr>
        <w:t xml:space="preserve">Why this step matters: </w:t>
      </w:r>
      <w:r>
        <w:rPr>
          <w:i/>
        </w:rPr>
        <w:t>New staff who don't know the attendance, leave and conduct rules generate avoidable disputes in their first weeks. NABH checks this as part of how a genuinely competent, safe workforce is actually built and kept, not just what's written about it.</w:t>
      </w:r>
    </w:p>
    <w:p>
      <w:r>
        <w:t>1. Induction includes orientation on administrative procedures — attendance, leave, conduct and similar matters — cross-referenced to HRM.2.d.</w:t>
      </w:r>
    </w:p>
    <w:p>
      <w:r>
        <w:t>2. It includes awareness of organisation-wide policies relevant to the trainee.</w:t>
      </w:r>
    </w:p>
    <w:p>
      <w:r>
        <w:t>3. A separate orientation, delivered at department/unit/service/programme level, covers that specific area's own policies and procedures. (Records 14–15)</w:t>
      </w:r>
    </w:p>
    <w:p>
      <w:pPr>
        <w:pStyle w:val="Heading2"/>
      </w:pPr>
      <w:r>
        <w:t>5.9 Train on information systems</w:t>
      </w:r>
    </w:p>
    <w:p>
      <w:r>
        <w:rPr>
          <w:b/>
          <w:i/>
        </w:rPr>
        <w:t xml:space="preserve">Why this step matters: </w:t>
      </w:r>
      <w:r>
        <w:rPr>
          <w:i/>
        </w:rPr>
        <w:t>Hospital-wide induction alone doesn't tell a new staff member how their specific department, unit or service actually runs — this record is the proof that level of orientation actually happened too. NABH checks this as part of how a genuinely competent, safe workforce is actually built and kept, not just what's written about it.</w:t>
      </w:r>
    </w:p>
    <w:p>
      <w:r>
        <w:t>1. Staff are trained on the information systems, information security, and information-use practices relevant to their own job responsibility, job description and data needs.</w:t>
      </w:r>
    </w:p>
    <w:p>
      <w:r>
        <w:t>2. Where the hospital uses an electronic health record (EMR), every staff member who accesses, reviews or documents in it is trained to use it correctly before being given access — see the technical source below for the information-security-awareness principle this follows. (Records 16–17)</w:t>
      </w:r>
    </w:p>
    <w:p>
      <w:r>
        <w:rPr>
          <w:b/>
          <w:i/>
          <w:sz w:val="18"/>
        </w:rPr>
        <w:t xml:space="preserve">Technical source(s) for these steps: </w:t>
      </w:r>
    </w:p>
    <w:p>
      <w:pPr>
        <w:pStyle w:val="ListParagraph"/>
      </w:pPr>
      <w:hyperlink r:id="rId12">
        <w:r>
          <w:rPr>
            <w:color w:val="0563C1"/>
            <w:u w:val="single"/>
          </w:rPr>
          <w:t>International Organization for Standardization. ISO/IEC 27001:2022 — Information Security Management Systems.</w:t>
        </w:r>
      </w:hyperlink>
    </w:p>
    <w:p>
      <w:pPr>
        <w:pStyle w:val="Heading1"/>
      </w:pPr>
      <w:r>
        <w:t>6. Records</w:t>
      </w:r>
    </w:p>
    <w:p>
      <w:r>
        <w:t>This SOP produces and maintains Records 1 through 19 (see the HRM.3 Records folder).</w:t>
      </w:r>
    </w:p>
    <w:p>
      <w:pPr>
        <w:pStyle w:val="Heading1"/>
      </w:pPr>
      <w:r>
        <w:t>7. Related Documents</w:t>
      </w:r>
    </w:p>
    <w:p>
      <w:pPr>
        <w:pStyle w:val="ListParagraph"/>
      </w:pPr>
      <w:r>
        <w:t>Policy on Staff Induction Training (HCO/HRM/POL/03) — this policy</w:t>
      </w:r>
    </w:p>
    <w:p>
      <w:pPr>
        <w:pStyle w:val="ListParagraph"/>
      </w:pPr>
      <w:r>
        <w:t>Required Records — HRM.3 (see HRM.3 Records folder)</w:t>
      </w:r>
    </w:p>
    <w:p>
      <w:pPr>
        <w:pStyle w:val="Heading1"/>
      </w:pPr>
      <w:r>
        <w:t>8. Where This SOP's Requirements Come From (Verified Sources)</w:t>
      </w:r>
    </w:p>
    <w:p>
      <w:pPr>
        <w:pStyle w:val="ListParagraph"/>
      </w:pPr>
      <w:hyperlink r:id="rId13">
        <w:r>
          <w:rPr>
            <w:rStyle w:val="Hyperlink"/>
            <w:i/>
          </w:rPr>
          <w:t>National Accreditation Board for Hospitals and Healthcare Providers. (2025). NABH accreditation standards for hospitals (6th ed.), HRM.3.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pr.heart.org/en/cpr-courses-and-kits/healthcare-professional/basic-life-support-bls-training" TargetMode="External"/><Relationship Id="rId10" Type="http://schemas.openxmlformats.org/officeDocument/2006/relationships/hyperlink" Target="https://www.aap.org/en/pedialink/neonatal-resuscitation-program/" TargetMode="External"/><Relationship Id="rId11" Type="http://schemas.openxmlformats.org/officeDocument/2006/relationships/hyperlink" Target="https://www.who.int/publications/i/item/WHO-HIS-SDS-2018.9" TargetMode="External"/><Relationship Id="rId12" Type="http://schemas.openxmlformats.org/officeDocument/2006/relationships/hyperlink" Target="https://www.iso.org/standard/27001" TargetMode="External"/><Relationship Id="rId13"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