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Management and Control of Data and Information</w:t>
      </w:r>
    </w:p>
    <w:p>
      <w:r>
        <w:t>«Hospital Name» — Supports IMS.2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standardises data collection, analyses data to meet information needs, disseminates information in a timely and accurate manner, stores and retrieves data, and involves clinical and managerial staff in using data. This policy does not cover identifying information needs, medical record content, or confidentiality and security of records — those are covered in other hospital policies. If you're new to this SOP, the short version is: follow the numbered steps below in order — they exist because skipping one of them is exactly how an incomplete, unverifiable or insecure medical record ends up costing the hospital and the patient when it matters most.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standardises data collection, analyses data to meet information needs, disseminates information in a timely and accurate manner, stores and retrieves data, and involves clinical and managerial staff in using data. This policy does not cover identifying information needs, medical record content, or confidentiality and security of records — those are covered in other hospital policies.</w:t>
      </w:r>
    </w:p>
    <w:p>
      <w:pPr>
        <w:pStyle w:val="Heading1"/>
      </w:pPr>
      <w:r>
        <w:t>2. Scope</w:t>
      </w:r>
    </w:p>
    <w:p>
      <w:r>
        <w:t>This policy applies to the collection, analysis, dissemination, storage and retrieval of all data and information at «Hospital Name».</w:t>
      </w:r>
    </w:p>
    <w:p>
      <w:pPr>
        <w:pStyle w:val="Heading1"/>
      </w:pPr>
      <w:r>
        <w:t>3. Responsibility</w:t>
      </w:r>
    </w:p>
    <w:p>
      <w:r>
        <w:t xml:space="preserve">Medical Records Officer / HIM In-Charge: </w:t>
      </w:r>
      <w:r>
        <w:t>owns the day-to-day running of this policy, keeps the required records current, and coordinates record review.</w:t>
      </w:r>
    </w:p>
    <w:p>
      <w:r>
        <w:t xml:space="preserve">IT In-Charge: </w:t>
      </w:r>
      <w:r>
        <w:t>owns the information systems, network maintenance, backup, security controls and licensing this policy requires.</w:t>
      </w:r>
    </w:p>
    <w:p>
      <w:r>
        <w:t xml:space="preserve">Medical Superintendent: </w:t>
      </w:r>
      <w:r>
        <w:t>escalation point for any unresolved gap, and approves retention, destruction and disclosure decisions requiring sign-off.</w:t>
      </w:r>
    </w:p>
    <w:p>
      <w:r>
        <w:t xml:space="preserve">Quality Coordinator: </w:t>
      </w:r>
      <w:r>
        <w:t>audits this policy periodically, checks records against the steps below, and flags gaps for corrective action.</w:t>
      </w:r>
    </w:p>
    <w:p>
      <w:pPr>
        <w:pStyle w:val="Heading1"/>
      </w:pPr>
      <w:r>
        <w:t>4. Procedure</w:t>
      </w:r>
    </w:p>
    <w:p>
      <w:pPr>
        <w:pStyle w:val="Heading2"/>
      </w:pPr>
      <w:r>
        <w:t>4.1 Standardised data collection</w:t>
      </w:r>
    </w:p>
    <w:p>
      <w:r>
        <w:rPr>
          <w:b/>
          <w:i/>
        </w:rPr>
        <w:t xml:space="preserve">Why this step matters: </w:t>
      </w:r>
      <w:r>
        <w:rPr>
          <w:i/>
        </w:rPr>
        <w:t>Data collected on ad-hoc forms, at whatever frequency someone remembers, can't be compared over time or across departments — it's noise, not information. This record proves a defined format and frequency exists for each data type and is actually being followed. NABH checks this as part of how a genuinely reliable, safe medical record system is actually run, not just what's written about it.</w:t>
      </w:r>
    </w:p>
    <w:p>
      <w:r>
        <w:t>1. Data-collection processes are standardised across the hospital — the same format (physical and/or electronic) and the same frequency convention are used for a given data type everywhere it's collected.</w:t>
      </w:r>
    </w:p>
    <w:p>
      <w:r>
        <w:t>2. Frequency is set appropriately to the data type — event-based, or a fixed periodicity such as daily, weekly, monthly, quarterly or yearly — and is written down, not left to whoever is collecting it that day. (Records 1–2)</w:t>
      </w:r>
    </w:p>
    <w:p>
      <w:pPr>
        <w:pStyle w:val="Heading2"/>
      </w:pPr>
      <w:r>
        <w:t>4.2 Data analysis</w:t>
      </w:r>
    </w:p>
    <w:p>
      <w:r>
        <w:rPr>
          <w:b/>
          <w:i/>
        </w:rPr>
        <w:t xml:space="preserve">Why this step matters: </w:t>
      </w:r>
      <w:r>
        <w:rPr>
          <w:i/>
        </w:rPr>
        <w:t>Data that's collected but never properly analysed sits in a file doing nothing — it takes people, tools and time to turn raw numbers into a finding anyone can act on. This record proves the analysis actually happened, with the right tool and real resources behind it, not just a spreadsheet nobody opened. NABH checks this as part of how a genuinely reliable, safe medical record system is actually run, not just what's written about it.</w:t>
      </w:r>
    </w:p>
    <w:p>
      <w:r>
        <w:t>1. Collected data is analysed with tools and techniques appropriate to the question being asked, aimed specifically at meeting the information needs identified under the Policy on Meeting Information Needs.</w:t>
      </w:r>
    </w:p>
    <w:p>
      <w:r>
        <w:t>2. Personnel, material, space and budget needed for data analysis are actually made available, not assumed to exist within someone's spare time — see the technical source below for a recognised data-quality-management approach. (Records 3–4)</w:t>
      </w:r>
    </w:p>
    <w:p>
      <w:r>
        <w:rPr>
          <w:b/>
          <w:i/>
          <w:sz w:val="18"/>
        </w:rPr>
        <w:t xml:space="preserve">Technical source(s) for these steps: </w:t>
      </w:r>
    </w:p>
    <w:p>
      <w:pPr>
        <w:pStyle w:val="ListParagraph"/>
      </w:pPr>
      <w:hyperlink r:id="rId9">
        <w:r>
          <w:rPr>
            <w:color w:val="0563C1"/>
            <w:u w:val="single"/>
          </w:rPr>
          <w:t>American Health Information Management Association. Managing and Improving Data Quality.</w:t>
        </w:r>
      </w:hyperlink>
    </w:p>
    <w:p>
      <w:pPr>
        <w:pStyle w:val="Heading2"/>
      </w:pPr>
      <w:r>
        <w:t>4.3 Timely and accurate dissemination</w:t>
      </w:r>
    </w:p>
    <w:p>
      <w:r>
        <w:rPr>
          <w:b/>
          <w:i/>
        </w:rPr>
        <w:t xml:space="preserve">Why this step matters: </w:t>
      </w:r>
      <w:r>
        <w:rPr>
          <w:i/>
        </w:rPr>
        <w:t>An analysis finished today but shared three months later is too late to change anything — the information needs of the stakeholder it was for have moved on. This record proves the information actually reached the right people, through the right channel, within a real, trackable timeframe. NABH checks this as part of how a genuinely reliable, safe medical record system is actually run, not just what's written about it.</w:t>
      </w:r>
    </w:p>
    <w:p>
      <w:r>
        <w:t>1. After analysis, information is given to relevant stakeholders on time and accurately — delay past the point of usefulness is treated as a failure of this step, not a minor lag.</w:t>
      </w:r>
    </w:p>
    <w:p>
      <w:r>
        <w:t>2. The organisation decides in advance which information is shared with whom, and through what modality — memo, circular or webpage — rather than deciding ad hoc each time. (Records 5–6)</w:t>
      </w:r>
    </w:p>
    <w:p>
      <w:pPr>
        <w:pStyle w:val="Heading2"/>
      </w:pPr>
      <w:r>
        <w:t>4.4 Storage and retrieval</w:t>
      </w:r>
    </w:p>
    <w:p>
      <w:r>
        <w:rPr>
          <w:b/>
          <w:i/>
        </w:rPr>
        <w:t xml:space="preserve">Why this step matters: </w:t>
      </w:r>
      <w:r>
        <w:rPr>
          <w:i/>
        </w:rPr>
        <w:t>Data safely stored but impossible to retrieve when a clinician, researcher or manager actually needs it is functionally the same as data that was never collected. This record proves both halves work — the data is protected, and it can genuinely be pulled up in time for patient care, research or management decisions. NABH checks this as part of how a genuinely reliable, safe medical record system is actually run, not just what's written about it.</w:t>
      </w:r>
    </w:p>
    <w:p>
      <w:r>
        <w:t>1. Data is stored physically or electronically according to the information need it serves, with the storage method chosen deliberately, not by default.</w:t>
      </w:r>
    </w:p>
    <w:p>
      <w:r>
        <w:t>2. Where electronic storage is used, adequate safeguards protect the data — see the technical source below.</w:t>
      </w:r>
    </w:p>
    <w:p>
      <w:r>
        <w:t>3. The storage and retrieval system is tested for timely access to information needed for patient care, education, research and service management — retrieval speed is checked, not assumed. (Records 7–8)</w:t>
      </w:r>
    </w:p>
    <w:p>
      <w:r>
        <w:rPr>
          <w:b/>
          <w:i/>
          <w:sz w:val="18"/>
        </w:rPr>
        <w:t xml:space="preserve">Technical source(s) for these steps: </w:t>
      </w:r>
    </w:p>
    <w:p>
      <w:pPr>
        <w:pStyle w:val="ListParagraph"/>
      </w:pPr>
      <w:hyperlink r:id="rId10">
        <w:r>
          <w:rPr>
            <w:color w:val="0563C1"/>
            <w:u w:val="single"/>
          </w:rPr>
          <w:t>International Organization for Standardization. ISO/IEC 27001:2022 — Information Security Management Systems.</w:t>
        </w:r>
      </w:hyperlink>
    </w:p>
    <w:p>
      <w:pPr>
        <w:pStyle w:val="Heading2"/>
      </w:pPr>
      <w:r>
        <w:t>4.5 Staff participation</w:t>
      </w:r>
    </w:p>
    <w:p>
      <w:r>
        <w:rPr>
          <w:b/>
          <w:i/>
        </w:rPr>
        <w:t xml:space="preserve">Why this step matters: </w:t>
      </w:r>
      <w:r>
        <w:rPr>
          <w:i/>
        </w:rPr>
        <w:t>Data selection and analysis decided entirely by IT or admin staff, with no clinical or managerial judgment involved, tends to measure what's easy rather than what matters. This record proves the right multidisciplinary people actually chose the indicators, watched the trend, and acted when the trend demanded it. NABH checks this as part of how a genuinely reliable, safe medical record system is actually run, not just what's written about it.</w:t>
      </w:r>
    </w:p>
    <w:p>
      <w:r>
        <w:t>1. Appropriate clinical and managerial staff are made responsible, by name or role, for selecting relevant indicators, measuring trends, and initiating action where the data calls for it.</w:t>
      </w:r>
    </w:p>
    <w:p>
      <w:r>
        <w:t>2. A multidisciplinary committee may carry out this function, with attendance and decisions actually documented, not just held as an informal discussion. (Records 9–10)</w:t>
      </w:r>
    </w:p>
    <w:p>
      <w:pPr>
        <w:pStyle w:val="Heading1"/>
      </w:pPr>
      <w:r>
        <w:t>5. Records</w:t>
      </w:r>
    </w:p>
    <w:p>
      <w:r>
        <w:t>This SOP produces and maintains Records 1 through 10 (see the IMS.2 Records folder).</w:t>
      </w:r>
    </w:p>
    <w:p>
      <w:pPr>
        <w:pStyle w:val="Heading1"/>
      </w:pPr>
      <w:r>
        <w:t>6. Related Documents</w:t>
      </w:r>
    </w:p>
    <w:p>
      <w:pPr>
        <w:pStyle w:val="ListParagraph"/>
      </w:pPr>
      <w:r>
        <w:t>Policy on Management and Control of Data and Information (HCO/IMS/POL/02) — this policy</w:t>
      </w:r>
    </w:p>
    <w:p>
      <w:pPr>
        <w:pStyle w:val="ListParagraph"/>
      </w:pPr>
      <w:r>
        <w:t>Required Records — IMS.2 (see IMS.2 Records folder)</w:t>
      </w:r>
    </w:p>
    <w:p>
      <w:pPr>
        <w:pStyle w:val="Heading1"/>
      </w:pPr>
      <w:r>
        <w:t>7. Where This SOP's Requirements Come From (Verified Sources)</w:t>
      </w:r>
    </w:p>
    <w:p>
      <w:pPr>
        <w:pStyle w:val="ListParagraph"/>
      </w:pPr>
      <w:hyperlink r:id="rId11">
        <w:r>
          <w:rPr>
            <w:rStyle w:val="Hyperlink"/>
            <w:i/>
          </w:rPr>
          <w:t>National Accreditation Board for Hospitals and Healthcare Providers. (2025). NABH accreditation standards for hospitals (6th ed.), IMS.2. ISBN 978-81-965264-9-8. https://portal.nabh.co/images/Standards/NABH%20Hospital%20Accreditation%20Standard%206th%20Edition%20January%202025.pdf</w:t>
        </w:r>
      </w:hyperlink>
    </w:p>
    <w:p>
      <w:pPr>
        <w:pStyle w:val="Heading1"/>
      </w:pPr>
      <w:r>
        <w:t>8. Review</w:t>
      </w:r>
    </w:p>
    <w:p>
      <w:r>
        <w:t>This SOP is reviewed at least annually by the Quality Coordinator together with the Medical Records Officer and IT In-Charge, and immediately if an incident, audit or record-review finding shows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ahima.org/Portals/0/archives/AHIMA%20files/Managing%20and%20Improving%20Data%20Quality%20(2003%20update).pdf" TargetMode="External"/><Relationship Id="rId10" Type="http://schemas.openxmlformats.org/officeDocument/2006/relationships/hyperlink" Target="https://www.iso.org/standard/27001"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