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Confidentiality, Integrity and Security of Records, Data and Information</w:t>
      </w:r>
    </w:p>
    <w:p>
      <w:r>
        <w:t>«Hospital Name» — Supports IMS.5</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maintains confidentiality of records, data and information; maintains their integrity; maintains their security; uses developments in technology to improve all three; discloses privileged health information only as authorised or required by law; and addresses requests for access to information in the medical records. This policy does not cover medical record content, document control, or retention and destruction of records — those are covered in other hospital policies. If you're new to this SOP, the short version is: follow the numbered steps below in order — they exist because skipping one of them is exactly how an incomplete, unverifiable or insecure medical record ends up costing the hospital and the patient when it matters most.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maintains confidentiality of records, data and information; maintains their integrity; maintains their security; uses developments in technology to improve all three; discloses privileged health information only as authorised or required by law; and addresses requests for access to information in the medical records. This policy does not cover medical record content, document control, or retention and destruction of records — those are covered in other hospital policies.</w:t>
      </w:r>
    </w:p>
    <w:p>
      <w:pPr>
        <w:pStyle w:val="Heading1"/>
      </w:pPr>
      <w:r>
        <w:t>2. Scope</w:t>
      </w:r>
    </w:p>
    <w:p>
      <w:r>
        <w:t>This policy applies to all records, data and information held by «Hospital Name», in physical and electronic form.</w:t>
      </w:r>
    </w:p>
    <w:p>
      <w:pPr>
        <w:pStyle w:val="Heading1"/>
      </w:pPr>
      <w:r>
        <w:t>3. Responsibility</w:t>
      </w:r>
    </w:p>
    <w:p>
      <w:r>
        <w:t xml:space="preserve">Medical Records Officer / HIM In-Charge: owns the day-to-day running of this policy, keeps the required records current, and coordinates record review.</w:t>
      </w:r>
    </w:p>
    <w:p>
      <w:r>
        <w:t xml:space="preserve">IT In-Charge: owns the information systems, network maintenance, backup, security controls and licensing this policy requires.</w:t>
      </w:r>
    </w:p>
    <w:p>
      <w:r>
        <w:t xml:space="preserve">Medical Superintendent: escalation point for any unresolved gap, and approves retention, destruction and disclosure decisions requiring sign-off.</w:t>
      </w:r>
    </w:p>
    <w:p>
      <w:r>
        <w:t xml:space="preserve">Quality Coordinator: 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Tracer card: </w:t>
      </w:r>
      <w:r>
        <w:t>A card placed in a file's usual storage slot whenever the physical file is taken out, so its location and who has it is always known.</w:t>
      </w:r>
    </w:p>
    <w:p>
      <w:pPr>
        <w:pStyle w:val="ListParagraph"/>
      </w:pPr>
      <w:r>
        <w:rPr>
          <w:b/>
        </w:rPr>
        <w:t xml:space="preserve">Medico-legal case (MLC): </w:t>
      </w:r>
      <w:r>
        <w:t>A case that, because of how the injury or condition occurred, carries a legal as well as a clinical dimension and requires certain mandatory information to be recorded.</w:t>
      </w:r>
    </w:p>
    <w:p>
      <w:pPr>
        <w:pStyle w:val="Heading1"/>
      </w:pPr>
      <w:r>
        <w:t>5. Procedure</w:t>
      </w:r>
    </w:p>
    <w:p>
      <w:pPr>
        <w:pStyle w:val="Heading2"/>
      </w:pPr>
      <w:r>
        <w:t>5.1 Confidentiality</w:t>
      </w:r>
    </w:p>
    <w:p>
      <w:r>
        <w:rPr>
          <w:b/>
          <w:i/>
        </w:rPr>
        <w:t xml:space="preserve">Why this step matters: </w:t>
      </w:r>
      <w:r>
        <w:rPr>
          <w:i/>
        </w:rPr>
        <w:t>A medical record accessible to anyone who walks into the MRD, or an electronic system with no access differentiation by role, turns patient confidentiality into a formality rather than a protection. This record proves access is actually controlled — by personnel type electronically, and by tracer-card discipline physically — not just described in a policy. This is a CORE requirement — NABH treats it as non-negotiable, not aspirational.</w:t>
      </w:r>
    </w:p>
    <w:p>
      <w:r>
        <w:t>1. Access to the contents of a record is limited to authorised persons only, aligned with applicable law — access to the medical records department and the Hospital Information System is physically and electronically controlled.</w:t>
      </w:r>
    </w:p>
    <w:p>
      <w:r>
        <w:t>2. Electronic-system access is differentiated by personnel type and is specific to the individual user, not shared under a generic login — see the technical source below.</w:t>
      </w:r>
    </w:p>
    <w:p>
      <w:r>
        <w:t>3. Physical records use a tracer card to track movement in and out of the medical records department; records and data are never taken out of their designated storage area, and electronic information cannot be copied at any location.</w:t>
      </w:r>
    </w:p>
    <w:p>
      <w:r>
        <w:t>4. Authentication, access control and automatic log-off protect data privacy; access rights to a person's clinical records are, as far as possible, limited to their actual clinical care providers. (Records 1–2)</w:t>
      </w:r>
    </w:p>
    <w:p>
      <w:r>
        <w:rPr>
          <w:b/>
          <w:i/>
          <w:sz w:val="18"/>
        </w:rPr>
        <w:t xml:space="preserve">Technical source(s) for these steps: </w:t>
      </w:r>
    </w:p>
    <w:p>
      <w:pPr>
        <w:pStyle w:val="ListParagraph"/>
      </w:pPr>
      <w:hyperlink r:id="rId9">
        <w:r>
          <w:rPr>
            <w:color w:val="0563C1"/>
            <w:u w:val="single"/>
          </w:rPr>
          <w:t>International Organization for Standardization. ISO/IEC 27001:2022 — Information Security Management Systems.</w:t>
        </w:r>
      </w:hyperlink>
    </w:p>
    <w:p>
      <w:pPr>
        <w:pStyle w:val="Heading2"/>
      </w:pPr>
      <w:r>
        <w:t>5.2 Integrity</w:t>
      </w:r>
    </w:p>
    <w:p>
      <w:r>
        <w:rPr>
          <w:b/>
          <w:i/>
        </w:rPr>
        <w:t xml:space="preserve">Why this step matters: </w:t>
      </w:r>
      <w:r>
        <w:rPr>
          <w:i/>
        </w:rPr>
        <w:t>A record where entries can be silently altered or overwritten with no trace is a record nobody can trust — in a clinical handover, an audit, or a legal dispute. This record proves corrections are actually made per the hospital's own written guidance, and that a genuine system exists to track every change made. This is a CORE requirement — NABH treats it as non-negotiable, not aspirational.</w:t>
      </w:r>
    </w:p>
    <w:p>
      <w:r>
        <w:t>1. Entries in records, data and information are protected from tampering; corrections are made only in accordance with the organisation's written guidance on correcting or overwriting a patient-record entry.</w:t>
      </w:r>
    </w:p>
    <w:p>
      <w:r>
        <w:t>2. A system tracks every change made to a record or dataset — who changed what, and when — so an entry's history can always be reconstructed. (Records 3–4)</w:t>
      </w:r>
    </w:p>
    <w:p>
      <w:pPr>
        <w:pStyle w:val="Heading2"/>
      </w:pPr>
      <w:r>
        <w:t>5.3 Security</w:t>
      </w:r>
    </w:p>
    <w:p>
      <w:r>
        <w:rPr>
          <w:b/>
          <w:i/>
        </w:rPr>
        <w:t xml:space="preserve">Why this step matters: </w:t>
      </w:r>
      <w:r>
        <w:rPr>
          <w:i/>
        </w:rPr>
        <w:t>Records and data lost to fire, pests, a virus, or a cyber-attack — or confidential lab results sent over an insecure channel — are a security failure with real patient consequences, not an IT inconvenience. This record proves the physical and electronic safeguards (fire-safe storage, pest control, backup, anti-virus, secure messaging) are genuinely in place and working. This is a CORE requirement — NABH treats it as non-negotiable, not aspirational.</w:t>
      </w:r>
    </w:p>
    <w:p>
      <w:r>
        <w:t>1. Physical records are protected through pest and rodent control, and storage in fire-safe cabinets or areas with adequate fire-fighting equipment — see the technical source below.</w:t>
      </w:r>
    </w:p>
    <w:p>
      <w:r>
        <w:t>2. Electronic data is protected against viruses and malware through a proper backup procedure and active preventive measures against cyber-attack.</w:t>
      </w:r>
    </w:p>
    <w:p>
      <w:r>
        <w:t>3. Confidential patient data — for example lab reports — is communicated only through a secure messaging platform, never an unsecured channel. (Records 5–6)</w:t>
      </w:r>
    </w:p>
    <w:p>
      <w:r>
        <w:rPr>
          <w:b/>
          <w:i/>
          <w:sz w:val="18"/>
        </w:rPr>
        <w:t xml:space="preserve">Technical source(s) for these steps: </w:t>
      </w:r>
    </w:p>
    <w:p>
      <w:pPr>
        <w:pStyle w:val="ListParagraph"/>
      </w:pPr>
      <w:hyperlink r:id="rId10">
        <w:r>
          <w:rPr>
            <w:color w:val="0563C1"/>
            <w:u w:val="single"/>
          </w:rPr>
          <w:t>National Fire Protection Association. NFPA 75 — Standard for the Fire Protection of Information Technology Equipment.</w:t>
        </w:r>
      </w:hyperlink>
    </w:p>
    <w:p>
      <w:pPr>
        <w:pStyle w:val="ListParagraph"/>
      </w:pPr>
      <w:r>
        <w:t>Bureau of Indian Standards — National Building Code of India 2016, Part 4: Fire and Life Safety (the applicable Indian reference alongside NFPA 75 for IT-equipment fire protection).</w:t>
      </w:r>
    </w:p>
    <w:p>
      <w:pPr>
        <w:pStyle w:val="ListParagraph"/>
      </w:pPr>
      <w:hyperlink r:id="rId9">
        <w:r>
          <w:rPr>
            <w:color w:val="0563C1"/>
            <w:u w:val="single"/>
          </w:rPr>
          <w:t>International Organization for Standardization. ISO/IEC 27001:2022 — Information Security Management Systems.</w:t>
        </w:r>
      </w:hyperlink>
    </w:p>
    <w:p>
      <w:pPr>
        <w:pStyle w:val="Heading2"/>
      </w:pPr>
      <w:r>
        <w:t>5.4 Technology for confidentiality, integrity and security</w:t>
      </w:r>
    </w:p>
    <w:p>
      <w:r>
        <w:rPr>
          <w:b/>
          <w:i/>
        </w:rPr>
        <w:t xml:space="preserve">Why this step matters: </w:t>
      </w:r>
      <w:r>
        <w:rPr>
          <w:i/>
        </w:rPr>
        <w:t>Confidentiality, integrity and security controls set up once and never revisited fall behind new threats — a USB port left open or an anti-virus never updated is exactly how a breach happens. This record proves the hospital is actually reviewing and updating its technology, including safeguards on medical equipment itself, not just its central servers. NABH checks this as part of how a genuinely reliable, safe medical record system is actually run, not just what's written about it.</w:t>
      </w:r>
    </w:p>
    <w:p>
      <w:r>
        <w:t>1. Technological features for confidentiality, integrity and security are reviewed and updated periodically — for example moving from physical to electronic format, or adding remote data backup.</w:t>
      </w:r>
    </w:p>
    <w:p>
      <w:r>
        <w:t>2. Patient data generated from medical equipment is safeguarded: USB ports on medical devices are disabled where not needed, remote access and downloading of patient data is restricted, and anti-virus software on medical equipment is kept current.</w:t>
      </w:r>
    </w:p>
    <w:p>
      <w:r>
        <w:t>3. Patient data backup from medical equipment is done on a defined, timely schedule, informed where possible by a documented risk assessment. (Records 7–8)</w:t>
      </w:r>
    </w:p>
    <w:p>
      <w:r>
        <w:rPr>
          <w:b/>
          <w:i/>
          <w:sz w:val="18"/>
        </w:rPr>
        <w:t xml:space="preserve">Technical source(s) for these steps: </w:t>
      </w:r>
    </w:p>
    <w:p>
      <w:pPr>
        <w:pStyle w:val="ListParagraph"/>
      </w:pPr>
      <w:hyperlink r:id="rId9">
        <w:r>
          <w:rPr>
            <w:color w:val="0563C1"/>
            <w:u w:val="single"/>
          </w:rPr>
          <w:t>International Organization for Standardization. ISO/IEC 27001:2022 — Information Security Management Systems.</w:t>
        </w:r>
      </w:hyperlink>
    </w:p>
    <w:p>
      <w:pPr>
        <w:pStyle w:val="Heading2"/>
      </w:pPr>
      <w:r>
        <w:t>5.5 Disclosure of privileged health information</w:t>
      </w:r>
    </w:p>
    <w:p>
      <w:r>
        <w:rPr>
          <w:b/>
          <w:i/>
        </w:rPr>
        <w:t xml:space="preserve">Why this step matters: </w:t>
      </w:r>
      <w:r>
        <w:rPr>
          <w:i/>
        </w:rPr>
        <w:t>Disclosing a patient's health information without their authorisation, or without a specific legal basis, is a confidentiality breach with real legal exposure — medico-legal cases and other special situations need particular care. This record proves every disclosure actually had a documented basis — written patient consent, or the specific handling rule for that special situation. NABH checks this as part of how a genuinely reliable, safe medical record system is actually run, not just what's written about it.</w:t>
      </w:r>
    </w:p>
    <w:p>
      <w:r>
        <w:t>1. Privileged health information is disclosed only with the patient's written authorisation, and/or where required by law — never on a verbal request alone.</w:t>
      </w:r>
    </w:p>
    <w:p>
      <w:r>
        <w:t>2. Special care is taken in medico-legal cases and other special situations identified by government or the organisation, where disclosure rules may differ from the routine case. (Records 9–10)</w:t>
      </w:r>
    </w:p>
    <w:p>
      <w:pPr>
        <w:pStyle w:val="Heading2"/>
      </w:pPr>
      <w:r>
        <w:t>5.6 Access requests</w:t>
      </w:r>
    </w:p>
    <w:p>
      <w:r>
        <w:rPr>
          <w:b/>
          <w:i/>
        </w:rPr>
        <w:t xml:space="preserve">Why this step matters: </w:t>
      </w:r>
      <w:r>
        <w:rPr>
          <w:i/>
        </w:rPr>
        <w:t>A patient or physician asking to see a medical record deserves a consistent answer, not one that depends on who's on duty that day — and a denial with no documented clinical reason is indefensible. This record proves requests were actually handled per written guidance, and that any denial carried a real, documented reason from a licensed healthcare professional. NABH checks this as part of how a genuinely reliable, safe medical record system is actually run, not just what's written about it.</w:t>
      </w:r>
    </w:p>
    <w:p>
      <w:r>
        <w:t>1. Requests for access to medical-record information — from patients, physicians or other public agencies — are handled consistently, through one written procedure.</w:t>
      </w:r>
    </w:p>
    <w:p>
      <w:r>
        <w:t>2. Release of information to patients follows the Code of Medical Ethics, 2002 — see the technical source below.</w:t>
      </w:r>
    </w:p>
    <w:p>
      <w:r>
        <w:t>3. Denial of information is permitted only where a licensed healthcare professional judges that release would endanger the life or safety of the patient or others — this judgement is documented, not assumed.</w:t>
      </w:r>
    </w:p>
    <w:p>
      <w:r>
        <w:t>4. A physician's request for access to records of a patient they treated is handled per the same written guidance. (Records 11–12)</w:t>
      </w:r>
    </w:p>
    <w:p>
      <w:r>
        <w:rPr>
          <w:b/>
          <w:i/>
          <w:sz w:val="18"/>
        </w:rPr>
        <w:t xml:space="preserve">Technical source(s) for these steps: </w:t>
      </w:r>
    </w:p>
    <w:p>
      <w:pPr>
        <w:pStyle w:val="ListParagraph"/>
      </w:pPr>
      <w:hyperlink r:id="rId11">
        <w:r>
          <w:rPr>
            <w:color w:val="0563C1"/>
            <w:u w:val="single"/>
          </w:rPr>
          <w:t>Medical Council of India. (2002). Indian Medical Council (Professional Conduct, Etiquette and Ethics) Regulations, 2002. https://www.nmc.org.in/rules-regulations/code-of-medical-ethics-regulations-2002/</w:t>
        </w:r>
      </w:hyperlink>
    </w:p>
    <w:p>
      <w:pPr>
        <w:pStyle w:val="Heading1"/>
      </w:pPr>
      <w:r>
        <w:t>6. Records</w:t>
      </w:r>
    </w:p>
    <w:p>
      <w:r>
        <w:t>This SOP produces and maintains Records 1 through 12 (see the IMS.5 Records folder).</w:t>
      </w:r>
    </w:p>
    <w:p>
      <w:pPr>
        <w:pStyle w:val="Heading1"/>
      </w:pPr>
      <w:r>
        <w:t>7. Related Documents</w:t>
      </w:r>
    </w:p>
    <w:p>
      <w:pPr>
        <w:pStyle w:val="ListParagraph"/>
      </w:pPr>
      <w:r>
        <w:t>Policy on Confidentiality, Integrity and Security of Records, Data and Information (HCO/IMS/POL/05) — this policy</w:t>
      </w:r>
    </w:p>
    <w:p>
      <w:pPr>
        <w:pStyle w:val="ListParagraph"/>
      </w:pPr>
      <w:r>
        <w:t>Required Records — IMS.5 (see IMS.5 Records folder)</w:t>
      </w:r>
    </w:p>
    <w:p>
      <w:pPr>
        <w:pStyle w:val="Heading1"/>
      </w:pPr>
      <w:r>
        <w:t>8. Where This SOP's Requirements Come From (Verified Sources)</w:t>
      </w:r>
    </w:p>
    <w:p>
      <w:pPr>
        <w:pStyle w:val="ListParagraph"/>
      </w:pPr>
      <w:hyperlink r:id="rId12">
        <w:r>
          <w:rPr>
            <w:rStyle w:val="Hyperlink"/>
            <w:i/>
          </w:rPr>
          <w:t>National Accreditation Board for Hospitals and Healthcare Providers. (2025). NABH accreditation standards for hospitals (6th ed.), IMS.5.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Medical Records Officer and IT In-Charge, and immediately if an incident, audit or record-review finding shows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27001" TargetMode="External"/><Relationship Id="rId10" Type="http://schemas.openxmlformats.org/officeDocument/2006/relationships/hyperlink" Target="https://www.nfpa.org/product/nfpa-75-standard/p0075code" TargetMode="External"/><Relationship Id="rId11" Type="http://schemas.openxmlformats.org/officeDocument/2006/relationships/hyperlink" Target="https://www.nmc.org.in/rules-regulations/code-of-medical-ethics-regulations-2002/" TargetMode="External"/><Relationship Id="rId12"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