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Infection Prevention and Control in Support Services</w:t>
      </w:r>
    </w:p>
    <w:p>
      <w:r>
        <w:t>«Hospital Name» — Supports IPC.4</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implements infection prevention and control processes in support services: engineering controls, construction/renovation infection risk management, housekeeping, biomedical waste, laundry and linen, and kitchen sanitation. Clinical IPC processes, HAI-prevention bundles, and IPC surveillance are covered in separate hospital policies. If you're new to infection prevention and control,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implements infection prevention and control processes in support services: engineering controls, construction/renovation infection risk management, housekeeping, biomedical waste, laundry and linen, and kitchen sanitation. Clinical IPC processes, HAI-prevention bundles, and IPC surveillance are covered in separate hospital policies.</w:t>
      </w:r>
    </w:p>
    <w:p>
      <w:pPr>
        <w:pStyle w:val="Heading1"/>
      </w:pPr>
      <w:r>
        <w:t>2. Scope</w:t>
      </w:r>
    </w:p>
    <w:p>
      <w:r>
        <w:t>This policy applies to housekeeping staff, BMW handlers, laundry staff, kitchen and dietary staff, engineering/maintenance teams, and the IPC Officer at «Hospital Name», including those performing outsourced services.</w:t>
      </w:r>
    </w:p>
    <w:p>
      <w:pPr>
        <w:pStyle w:val="Heading1"/>
      </w:pPr>
      <w:r>
        <w:t>3. Responsibility</w:t>
      </w:r>
    </w:p>
    <w:p>
      <w:r>
        <w:t xml:space="preserve">IPC Officer (IPCO): </w:t>
      </w:r>
      <w:r>
        <w:t>leads the programme covered by this policy, owns the required records, and is accountable to the IPC Committee for it.</w:t>
      </w:r>
    </w:p>
    <w:p>
      <w:r>
        <w:t xml:space="preserve">IPC Nurse(s) (IPCN): </w:t>
      </w:r>
      <w:r>
        <w:t>carries out the day-to-day activities described below and keeps the records current.</w:t>
      </w:r>
    </w:p>
    <w:p>
      <w:r>
        <w:t xml:space="preserve">Link Nurses: </w:t>
      </w:r>
      <w:r>
        <w:t>support IPC activities within their own clinical area.</w:t>
      </w:r>
    </w:p>
    <w:p>
      <w:r>
        <w:t xml:space="preserve">IPC Committee: </w:t>
      </w:r>
      <w:r>
        <w:t>reviews progress on this policy at least monthly and signs off the annual review.</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HAI: </w:t>
      </w:r>
      <w:r>
        <w:t>Healthcare-Associated Infection — an infection a patient picked up during their hospital stay, not one they came in with.</w:t>
      </w:r>
    </w:p>
    <w:p>
      <w:pPr>
        <w:pStyle w:val="ListParagraph"/>
      </w:pPr>
      <w:r>
        <w:rPr>
          <w:b/>
        </w:rPr>
        <w:t xml:space="preserve">CSSD: </w:t>
      </w:r>
      <w:r>
        <w:t>Central Sterile Services Department — cleans, packs and sterilises reusable instruments.</w:t>
      </w:r>
    </w:p>
    <w:p>
      <w:pPr>
        <w:pStyle w:val="ListParagraph"/>
      </w:pPr>
      <w:r>
        <w:rPr>
          <w:b/>
        </w:rPr>
        <w:t xml:space="preserve">BMW: </w:t>
      </w:r>
      <w:r>
        <w:t>Bio-Medical Waste — infectious/hazardous waste from patient care, regulated by law.</w:t>
      </w:r>
    </w:p>
    <w:p>
      <w:pPr>
        <w:pStyle w:val="ListParagraph"/>
      </w:pPr>
      <w:r>
        <w:rPr>
          <w:b/>
        </w:rPr>
        <w:t xml:space="preserve">ICRA: </w:t>
      </w:r>
      <w:r>
        <w:t>Infection Control Risk Assessment — a pre-construction check of infection risk.</w:t>
      </w:r>
    </w:p>
    <w:p>
      <w:pPr>
        <w:pStyle w:val="ListParagraph"/>
      </w:pPr>
      <w:r>
        <w:rPr>
          <w:b/>
        </w:rPr>
        <w:t xml:space="preserve">ACH (Air Changes Per Hour): </w:t>
      </w:r>
      <w:r>
        <w:t>How many times the entire volume of air in a room is replaced with fresh/filtered air in one hour — a measurable number an engineer can check with an anemometer, not a vague 'good ventilation.'</w:t>
      </w:r>
    </w:p>
    <w:p>
      <w:pPr>
        <w:pStyle w:val="ListParagraph"/>
      </w:pPr>
      <w:r>
        <w:rPr>
          <w:b/>
        </w:rPr>
        <w:t xml:space="preserve">HEPA Filter: </w:t>
      </w:r>
      <w:r>
        <w:t>A High-Efficiency Particulate Air filter that traps 99.97% of particles down to 0.3 microns — used in OT and isolation-room air handling to remove airborne pathogens.</w:t>
      </w:r>
    </w:p>
    <w:p>
      <w:pPr>
        <w:pStyle w:val="ListParagraph"/>
      </w:pPr>
      <w:r>
        <w:rPr>
          <w:b/>
        </w:rPr>
        <w:t xml:space="preserve">HACCP: </w:t>
      </w:r>
      <w:r>
        <w:t>Hazard Analysis and Critical Control Points — a food-safety method that identifies the specific points in food handling (like cooking temperature) where a hazard must be controlled, with a measurable limit at each point.</w:t>
      </w:r>
    </w:p>
    <w:p>
      <w:pPr>
        <w:pStyle w:val="Heading1"/>
      </w:pPr>
      <w:r>
        <w:t>5. Procedure</w:t>
      </w:r>
    </w:p>
    <w:p>
      <w:pPr>
        <w:pStyle w:val="Heading2"/>
      </w:pPr>
      <w:r>
        <w:t>5.1 Maintain engineering controls to prevent infection</w:t>
      </w:r>
    </w:p>
    <w:p>
      <w:r>
        <w:rPr>
          <w:b/>
          <w:i/>
        </w:rPr>
        <w:t xml:space="preserve">Why this step matters: </w:t>
      </w:r>
      <w:r>
        <w:rPr>
          <w:i/>
        </w:rPr>
        <w:t>Bed spacing, OT zoning, and air and water systems are the physical infrastructure infection control depends on — no amount of good clinical practice compensates for a ventilation or water system that isn't actually working. This record is the evidence those systems are checked and maintained, not assumed to be fine. This is a Commitment-level requirement — NABH expects the hospital to be actively working toward and evidencing it, not just planning to.</w:t>
      </w:r>
    </w:p>
    <w:p>
      <w:r>
        <w:t>1. Set minimum air changes per hour (ACH) by area type: Operating Theatre ≥15 ACH (≥3 of them fresh air); ICU/Critical Care ≥6 ACH; Airborne Infection Isolation Room ≥12 ACH.</w:t>
      </w:r>
    </w:p>
    <w:p>
      <w:r>
        <w:t>2. Run the OT and any protective (reverse) isolation room at positive pressure relative to the corridor; run every Airborne Infection Isolation Room at negative pressure relative to the corridor — both need a measurable differential, not just a fan pointed the right way.</w:t>
      </w:r>
    </w:p>
    <w:p>
      <w:r>
        <w:t>3. Verify directional airflow with a smoke tube or door-gap pressure gauge before each OT list and each new isolation-room admission; log the reading.</w:t>
      </w:r>
    </w:p>
    <w:p>
      <w:r>
        <w:t>4. Fit HEPA filtration (99.97% at 0.3 micron) at OT and Airborne Infection Isolation Room supply/exhaust, and test filter integrity at installation and at least annually thereafter.</w:t>
      </w:r>
    </w:p>
    <w:p>
      <w:r>
        <w:t>5. Maintain OT temperature at 20–24°C and relative humidity at 20–60%; log both at least twice daily.</w:t>
      </w:r>
    </w:p>
    <w:p>
      <w:r>
        <w:t>6. Inspect/change pre-filters monthly and HEPA filters per the manufacturer's schedule or on a pressure-drop trigger; document every change in the AMC log. (Records 1–3)</w:t>
      </w:r>
    </w:p>
    <w:p>
      <w:r>
        <w:rPr>
          <w:b/>
          <w:i/>
          <w:sz w:val="18"/>
        </w:rPr>
        <w:t xml:space="preserve">Technical source(s) for these steps: </w:t>
      </w:r>
    </w:p>
    <w:p>
      <w:pPr>
        <w:pStyle w:val="ListParagraph"/>
      </w:pPr>
      <w:hyperlink r:id="rId9">
        <w:r>
          <w:rPr>
            <w:color w:val="0563C1"/>
            <w:u w:val="single"/>
          </w:rPr>
          <w:t>Centers for Disease Control and Prevention. (n.d.). Core infection prevention and control practices for safe healthcare delivery.</w:t>
        </w:r>
      </w:hyperlink>
    </w:p>
    <w:p>
      <w:pPr>
        <w:pStyle w:val="Heading2"/>
      </w:pPr>
      <w:r>
        <w:t>5.2 Plan and implement infection controls for construction and renovation</w:t>
      </w:r>
    </w:p>
    <w:p>
      <w:r>
        <w:rPr>
          <w:b/>
          <w:i/>
        </w:rPr>
        <w:t xml:space="preserve">Why this step matters: </w:t>
      </w:r>
      <w:r>
        <w:rPr>
          <w:i/>
        </w:rPr>
        <w:t>Construction dust and disrupted water lines are a well-documented source of real hospital outbreaks (Aspergillus, Legionella) when nearby clinical areas aren't protected. The ICRA is the proof that infection risk was assessed and controlled before work started — not discovered afterward, once patients were already exposed. This is a Commitment-level requirement — NABH expects the hospital to be actively working toward and evidencing it, not just planning to.</w:t>
      </w:r>
    </w:p>
    <w:p>
      <w:r>
        <w:t>1. Before any construction or repair work, classify the activity: Type A (inspection, no dust), Type B (small-scale, minimal dust, under one shift), Type C (moderate-to-high dust, cutting/coring, over one shift), or Type D (major demolition/duct work).</w:t>
      </w:r>
    </w:p>
    <w:p>
      <w:r>
        <w:t>2. Separately classify the patient-risk group of the affected/adjacent area: Low, Medium, High, or Highest (OT, ICU, oncology, CSSD).</w:t>
      </w:r>
    </w:p>
    <w:p>
      <w:r>
        <w:t>3. Cross activity type against risk group on an Infection Control Risk Assessment (ICRA) matrix to derive the required precaution class (I–IV).</w:t>
      </w:r>
    </w:p>
    <w:p>
      <w:r>
        <w:t>4. For Class III/IV work, erect sealed rigid barriers, maintain negative pressure inside the work zone with HEPA-filtered exhaust to the outside, provide an anteroom/mat at the entrance, and require workers to remove protective garb before leaving the zone.</w:t>
      </w:r>
    </w:p>
    <w:p>
      <w:r>
        <w:t>5. Monitor the pressure differential across the barrier continuously during Class III/IV work, and inspect the site daily for barrier integrity.</w:t>
      </w:r>
    </w:p>
    <w:p>
      <w:r>
        <w:t>6. On completion, terminally clean the area, remove barriers, and obtain formal Infection Control clearance before the area returns to patient use. (Records 4–6)</w:t>
      </w:r>
    </w:p>
    <w:p>
      <w:r>
        <w:rPr>
          <w:b/>
          <w:i/>
          <w:sz w:val="18"/>
        </w:rPr>
        <w:t xml:space="preserve">Technical source(s) for these steps: </w:t>
      </w:r>
    </w:p>
    <w:p>
      <w:pPr>
        <w:pStyle w:val="ListParagraph"/>
      </w:pPr>
      <w:hyperlink r:id="rId9">
        <w:r>
          <w:rPr>
            <w:color w:val="0563C1"/>
            <w:u w:val="single"/>
          </w:rPr>
          <w:t>Centers for Disease Control and Prevention. (n.d.). Core infection prevention and control practices for safe healthcare delivery.</w:t>
        </w:r>
      </w:hyperlink>
    </w:p>
    <w:p>
      <w:pPr>
        <w:pStyle w:val="Heading2"/>
      </w:pPr>
      <w:r>
        <w:t>5.3 Follow housekeeping procedures</w:t>
      </w:r>
    </w:p>
    <w:p>
      <w:r>
        <w:rPr>
          <w:b/>
          <w:i/>
        </w:rPr>
        <w:t xml:space="preserve">Why this step matters: </w:t>
      </w:r>
      <w:r>
        <w:rPr>
          <w:i/>
        </w:rPr>
        <w:t>A surface that looks clean can still carry enough organisms to infect the next patient — cleaning only works when it follows a defined method, product and frequency, not just a tidy appearance. This record is the evidence the defined procedure was actually followed, area by area, including the situations (terminal cleaning, blood spills, isolation rooms) that need more than routine cleaning. This is a CORE requirement — NABH treats it as non-negotiable, not aspirational.</w:t>
      </w:r>
    </w:p>
    <w:p>
      <w:r>
        <w:t>1. Clean high-touch surfaces (bed rails, call bells, doorknobs, light switches, overbed tables) at least twice daily in occupied patient areas — more often than low-touch surfaces.</w:t>
      </w:r>
    </w:p>
    <w:p>
      <w:r>
        <w:t>2. Clean in a consistent sequence: least-soiled areas before most-soiled, high surfaces before floors, and the patient zone before the bathroom.</w:t>
      </w:r>
    </w:p>
    <w:p>
      <w:r>
        <w:t>3. Apply a regulator-registered hospital disinfectant at its labelled wet-contact time (commonly 1–10 minutes depending on the product); do not wipe the surface dry before that time has elapsed.</w:t>
      </w:r>
    </w:p>
    <w:p>
      <w:r>
        <w:t>4. Use a sporicidal, chlorine-based agent (≥1000 ppm) in rooms known or suspected to hold C. difficile or another spore-forming organism.</w:t>
      </w:r>
    </w:p>
    <w:p>
      <w:r>
        <w:t>5. On discharge or transfer, perform terminal cleaning: strip and launder/dispose of all linen, replace soiled curtains, clean and disinfect every surface and item of equipment in the room, cleaning the bathroom last.</w:t>
      </w:r>
    </w:p>
    <w:p>
      <w:r>
        <w:t>6. Document every cleaning event — time, staff, room, product used — on a signed checklist, and periodically audit thoroughness with a fluorescent-marker or ATP test on high-touch points. (Records 7–9)</w:t>
      </w:r>
    </w:p>
    <w:p>
      <w:r>
        <w:rPr>
          <w:b/>
          <w:i/>
          <w:sz w:val="18"/>
        </w:rPr>
        <w:t xml:space="preserve">Technical source(s) for these steps: </w:t>
      </w:r>
    </w:p>
    <w:p>
      <w:pPr>
        <w:pStyle w:val="ListParagraph"/>
      </w:pPr>
      <w:hyperlink r:id="rId10">
        <w:r>
          <w:rPr>
            <w:color w:val="0563C1"/>
            <w:u w:val="single"/>
          </w:rPr>
          <w:t>Centers for Disease Control and Prevention. (n.d.). Environmental cleaning procedures.</w:t>
        </w:r>
      </w:hyperlink>
    </w:p>
    <w:p>
      <w:pPr>
        <w:pStyle w:val="Heading2"/>
      </w:pPr>
      <w:r>
        <w:t>5.4 Handle biomedical waste appropriately and safely</w:t>
      </w:r>
    </w:p>
    <w:p>
      <w:r>
        <w:rPr>
          <w:b/>
          <w:i/>
        </w:rPr>
        <w:t xml:space="preserve">Why this step matters: </w:t>
      </w:r>
      <w:r>
        <w:rPr>
          <w:i/>
        </w:rPr>
        <w:t>Mishandled biomedical waste is both a direct legal violation under India's Bio-Medical Waste Management Rules and a real route for spreading infection to waste handlers, patients and the community outside the hospital. This record is the statutory proof of safe, compliant handling, from segregation at the point of generation through final authorised disposal. This is a CORE requirement — NABH treats it as non-negotiable, not aspirational.</w:t>
      </w:r>
    </w:p>
    <w:p>
      <w:r>
        <w:t>1. Segregate waste at the point of generation into the four categories set by India's Bio-Medical Waste Management Rules, 2016 (as amended): Yellow (anatomical waste, soiled dressings/linen, expired medicines, chemical solid waste, microbiology/culture waste, chemotherapy waste — incineration/plasma pyrolysis or deep burial); Red (contaminated recyclable plastics — IV sets, tubing, catheters, urine bags, gloves, needle-free syringes — autoclave/microwave then shred/recycle); White/translucent puncture-proof (sharps — needles, fixed-needle syringes, blades, scalpels — pre-treat then shred/encapsulate); Blue (glassware and metallic implants — disinfect then recycle).</w:t>
      </w:r>
    </w:p>
    <w:p>
      <w:r>
        <w:t>2. Never mix categories in one bag or bin; label every bag/container with the biohazard symbol, category, and date of generation.</w:t>
      </w:r>
    </w:p>
    <w:p>
      <w:r>
        <w:t>3. Do not fill any bag beyond three-quarters capacity; seal and tag it with ward, date and category before handover.</w:t>
      </w:r>
    </w:p>
    <w:p>
      <w:r>
        <w:t>4. Store segregated waste in a designated BMW storage room and arrange collection for off-site treatment within the timeline set by the State Pollution Control Board; maintain a daily waste-generation register.</w:t>
      </w:r>
    </w:p>
    <w:p>
      <w:r>
        <w:t>5. Train and PPE-equip waste-handling staff (gloves, apron, gumboots) and re-screen their segregation competency at least annually. (Records 10–15)</w:t>
      </w:r>
    </w:p>
    <w:p>
      <w:r>
        <w:rPr>
          <w:b/>
          <w:i/>
          <w:sz w:val="18"/>
        </w:rPr>
        <w:t xml:space="preserve">Technical source(s) for these steps: </w:t>
      </w:r>
    </w:p>
    <w:p>
      <w:pPr>
        <w:pStyle w:val="ListParagraph"/>
      </w:pPr>
      <w:hyperlink r:id="rId11">
        <w:r>
          <w:rPr>
            <w:color w:val="0563C1"/>
            <w:u w:val="single"/>
          </w:rPr>
          <w:t>Ministry of Environment, Forest and Climate Change, Government of India. (2016). Bio-Medical Waste Management Rules, 2016 (as amended).</w:t>
        </w:r>
      </w:hyperlink>
    </w:p>
    <w:p>
      <w:pPr>
        <w:pStyle w:val="Heading2"/>
      </w:pPr>
      <w:r>
        <w:t>5.5 Follow laundry and linen management processes</w:t>
      </w:r>
    </w:p>
    <w:p>
      <w:r>
        <w:rPr>
          <w:b/>
          <w:i/>
        </w:rPr>
        <w:t xml:space="preserve">Why this step matters: </w:t>
      </w:r>
      <w:r>
        <w:rPr>
          <w:i/>
        </w:rPr>
        <w:t>Soiled linen carries the same organisms as the patient it came from, and mishandling it during collection, transport or storage spreads that risk well beyond the original bedside. This record proves clean and dirty linen genuinely never cross paths, in practice — not just on the flow diagram. This is a Commitment-level requirement — NABH expects the hospital to be actively working toward and evidencing it, not just planning to.</w:t>
      </w:r>
    </w:p>
    <w:p>
      <w:r>
        <w:t>1. Collect soiled linen at the point of use with minimum agitation — do not shake it out, that aerosolises pathogens.</w:t>
      </w:r>
    </w:p>
    <w:p>
      <w:r>
        <w:t>2. Bag it immediately in leak-resistant containment, tied or otherwise securely closed before it leaves the ward.</w:t>
      </w:r>
    </w:p>
    <w:p>
      <w:r>
        <w:t>3. Transport soiled and clean linen on physically separate carts or chute routes; they must never share a route or cart.</w:t>
      </w:r>
    </w:p>
    <w:p>
      <w:r>
        <w:t>4. Wash at a minimum of 160°F (71°C) for at least 25 minutes (hot-water method); if using low-temperature washing (71–77°F / 22–25°C) instead, use chlorine bleach to 50–150 ppm available chlorine, activated at 135–145°F, plus a final mild-acid rinse bringing pH down from about 12 to about 5 — and validate this cycle, since low-temperature washing only works if detergent dose, cycle time and load size are all correctly monitored.</w:t>
      </w:r>
    </w:p>
    <w:p>
      <w:r>
        <w:t>5. Dry at a temperature and duration that gives real microbiocidal action, not a quick tumble.</w:t>
      </w:r>
    </w:p>
    <w:p>
      <w:r>
        <w:t>6. Keep the soiled-handling side of the laundry at negative air pressure relative to the clean side, so contaminated air cannot drift toward clean linen. (Records 16–18)</w:t>
      </w:r>
    </w:p>
    <w:p>
      <w:r>
        <w:rPr>
          <w:b/>
          <w:i/>
          <w:sz w:val="18"/>
        </w:rPr>
        <w:t xml:space="preserve">Technical source(s) for these steps: </w:t>
      </w:r>
    </w:p>
    <w:p>
      <w:pPr>
        <w:pStyle w:val="ListParagraph"/>
      </w:pPr>
      <w:hyperlink r:id="rId12">
        <w:r>
          <w:rPr>
            <w:color w:val="0563C1"/>
            <w:u w:val="single"/>
          </w:rPr>
          <w:t>Centers for Disease Control and Prevention. (n.d.). Environmental infection control guidelines: Laundry and bedding.</w:t>
        </w:r>
      </w:hyperlink>
    </w:p>
    <w:p>
      <w:pPr>
        <w:pStyle w:val="Heading2"/>
      </w:pPr>
      <w:r>
        <w:t>5.6 Follow kitchen sanitation and food-handling requirements</w:t>
      </w:r>
    </w:p>
    <w:p>
      <w:r>
        <w:rPr>
          <w:b/>
          <w:i/>
        </w:rPr>
        <w:t xml:space="preserve">Why this step matters: </w:t>
      </w:r>
      <w:r>
        <w:rPr>
          <w:i/>
        </w:rPr>
        <w:t>Food handled in an unsanitary kitchen, or by a food-handler carrying an undiagnosed infection, can trigger a hospital-wide gastrointestinal outbreak in a single meal service. This record is the proof that food-handling and worker-health risks are actually being screened and controlled, not assumed away because 'the kitchen looks fine.' This is a Commitment-level requirement — NABH expects the hospital to be actively working toward and evidencing it, not just planning to.</w:t>
      </w:r>
    </w:p>
    <w:p>
      <w:r>
        <w:t>1. Screen every food handler pre-employment and periodically; exclude anyone with diarrhoea, vomiting, or an open skin lesion from food-handling duty until cleared.</w:t>
      </w:r>
    </w:p>
    <w:p>
      <w:r>
        <w:t>2. Apply the HACCP approach: identify the critical control points across receiving, storage, cooking, holding and service, and set a critical limit at each.</w:t>
      </w:r>
    </w:p>
    <w:p>
      <w:r>
        <w:t>3. Store refrigerated food at ≤5°C (41°F) and frozen food at ≤–18°C (0°F); check and log temperatures at least twice daily.</w:t>
      </w:r>
    </w:p>
    <w:p>
      <w:r>
        <w:t>4. Cook poultry and meat to ≥74°C (165°F) and fish to ≥63°C (145°F), verified with a calibrated probe thermometer on each batch.</w:t>
      </w:r>
    </w:p>
    <w:p>
      <w:r>
        <w:t>5. Hold hot food at ≥60°C (140°F) and cold food at ≤5°C (41°F); discard any food left in the 5–60°C danger zone for more than 2 hours.</w:t>
      </w:r>
    </w:p>
    <w:p>
      <w:r>
        <w:t>6. Sanitise food-contact surfaces and utensils after each use using a wash-rinse-sanitise sequence, and keep raw and cooked storage segregated with colour-coded boards/utensils. (Records 19–21)</w:t>
      </w:r>
    </w:p>
    <w:p>
      <w:r>
        <w:rPr>
          <w:b/>
          <w:i/>
          <w:sz w:val="18"/>
        </w:rPr>
        <w:t xml:space="preserve">Technical source(s) for these steps: </w:t>
      </w:r>
    </w:p>
    <w:p>
      <w:pPr>
        <w:pStyle w:val="ListParagraph"/>
      </w:pPr>
      <w:hyperlink r:id="rId13">
        <w:r>
          <w:rPr>
            <w:color w:val="0563C1"/>
            <w:u w:val="single"/>
          </w:rPr>
          <w:t>U.S. Food and Drug Administration. (n.d.). HACCP principles &amp; application guidelines.</w:t>
        </w:r>
      </w:hyperlink>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Do not handle biomedical waste without the required colour-coded segregation and PPE. Do not start construction or renovation in a patient-care area until the infection-risk plan for that work has been completed and the Infection Prevention and Control Officer has agreed the controls. Stop-work applies to the waste-handling act and to the construction/renovation start. Emergency repair that cannot wait follows the documented emergency-works IPC controls and is recorded. The person who stops tells the Infection Prevention and Control Officer and the Medical Superintendent the same shift. Refusing unsafe waste handling or unplanned works is not a disciplinary matter.</w:t>
      </w:r>
    </w:p>
    <w:p>
      <w:pPr>
        <w:pStyle w:val="Heading1"/>
      </w:pPr>
      <w:r>
        <w:t>7. Records</w:t>
      </w:r>
    </w:p>
    <w:p>
      <w:r>
        <w:t>This SOP produces and maintains Records 1 through 21 (see the IPC.4 Records folder).</w:t>
      </w:r>
    </w:p>
    <w:p>
      <w:pPr>
        <w:pStyle w:val="Heading1"/>
      </w:pPr>
      <w:r>
        <w:t>8. Related Documents</w:t>
      </w:r>
    </w:p>
    <w:p>
      <w:pPr>
        <w:pStyle w:val="ListParagraph"/>
      </w:pPr>
      <w:r>
        <w:t>Policy on Infection Prevention and Control in Support Services (HCO/IPC/POL/04) — this policy</w:t>
      </w:r>
    </w:p>
    <w:p>
      <w:pPr>
        <w:pStyle w:val="ListParagraph"/>
      </w:pPr>
      <w:r>
        <w:t>Required Records — IPC.4 (see IPC.4 Records folder)</w:t>
      </w:r>
    </w:p>
    <w:p>
      <w:pPr>
        <w:pStyle w:val="Heading1"/>
      </w:pPr>
      <w:r>
        <w:t>9. Where This SOP's Requirements Come From (Verified Sources)</w:t>
      </w:r>
    </w:p>
    <w:p>
      <w:pPr>
        <w:pStyle w:val="ListParagraph"/>
      </w:pPr>
      <w:hyperlink r:id="rId14">
        <w:r>
          <w:rPr>
            <w:rStyle w:val="Hyperlink"/>
            <w:i/>
          </w:rPr>
          <w:t>National Accreditation Board for Hospitals and Healthcare Providers. (2025). NABH accreditation standards for hospitals (6th ed.), IPC.4. ISBN 978-81-965264-9-8. https://portal.nabh.co/images/Standards/NABH%20Hospital%20Accreditation%20Standard%206th%20Edition%20January%202025.pdf</w:t>
        </w:r>
      </w:hyperlink>
    </w:p>
    <w:p>
      <w:pPr>
        <w:pStyle w:val="ListParagraph"/>
      </w:pPr>
      <w:hyperlink r:id="rId15">
        <w:r>
          <w:rPr>
            <w:rStyle w:val="Hyperlink"/>
            <w:i/>
          </w:rPr>
          <w:t>National Centre for Disease Control &amp; Ministry of Health and Family Welfare, Government of India. (2020). National guidelines for infection prevention and control in healthcare facilities. https://ncdc.mohfw.gov.in/wp-content/uploads/2024/03/83538105781625557301.pdf</w:t>
        </w:r>
      </w:hyperlink>
    </w:p>
    <w:p>
      <w:pPr>
        <w:pStyle w:val="ListParagraph"/>
      </w:pPr>
      <w:hyperlink r:id="rId11">
        <w:r>
          <w:rPr>
            <w:color w:val="0563C1"/>
            <w:u w:val="single"/>
          </w:rPr>
          <w:t>Ministry of Environment, Forest and Climate Change, Government of India (2016) — Bio-Medical Waste Management Rules, 2016 (as amended)</w:t>
        </w:r>
      </w:hyperlink>
    </w:p>
    <w:p>
      <w:pPr>
        <w:pStyle w:val="Heading1"/>
      </w:pPr>
      <w:r>
        <w:t>10. Review</w:t>
      </w:r>
    </w:p>
    <w:p>
      <w:r>
        <w:t>This SOP is reviewed at least annually by the IPC Officer together with the IPC Committee, using the outcomes of the annual programme review and the validated assessment tool, and immediately if a gap analysis or audit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infection-control/hcp/core-practices/references.html" TargetMode="External"/><Relationship Id="rId10" Type="http://schemas.openxmlformats.org/officeDocument/2006/relationships/hyperlink" Target="https://www.cdc.gov/healthcare-associated-infections/hcp/cleaning-global/procedures.html" TargetMode="External"/><Relationship Id="rId11" Type="http://schemas.openxmlformats.org/officeDocument/2006/relationships/hyperlink" Target="https://clip.cpcb.gov.in/index.php/rule/bio-medical-waste-management-rules-2016/" TargetMode="External"/><Relationship Id="rId12" Type="http://schemas.openxmlformats.org/officeDocument/2006/relationships/hyperlink" Target="https://www.cdc.gov/infection-control/hcp/environmental-control/laundry-bedding.html" TargetMode="External"/><Relationship Id="rId13" Type="http://schemas.openxmlformats.org/officeDocument/2006/relationships/hyperlink" Target="https://www.fda.gov/food/hazard-analysis-critical-control-point-haccp/haccp-principles-application-guidelines" TargetMode="External"/><Relationship Id="rId14" Type="http://schemas.openxmlformats.org/officeDocument/2006/relationships/hyperlink" Target="https://portal.nabh.co/images/Standards/NABH%20Hospital%20Accreditation%20Standard%206th%20Edition%20January%202025.pdf" TargetMode="External"/><Relationship Id="rId15" Type="http://schemas.openxmlformats.org/officeDocument/2006/relationships/hyperlink" Target="https://ncdc.mohfw.gov.in/wp-content/uploads/2024/03/835381057816255573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