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High-Risk and LASA Medication Storage</w:t>
      </w:r>
    </w:p>
    <w:p>
      <w:r>
        <w:t>«Hospital Name» — Supports MOM.3.c, MOM.3.d, MOM.3.e (Stop-Work), MOM.3.f, MOM.3.g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identifies, stores, and separates high-risk and LASA (look-alike, sound-alike) medications so a storage or labelling mix-up never reaches a patient.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identifies, stores, and separates high-risk and LASA (look-alike, sound-alike) medications so a storage or labelling mix-up never reaches a patient.</w:t>
      </w:r>
    </w:p>
    <w:p>
      <w:pPr>
        <w:pStyle w:val="Heading1"/>
      </w:pPr>
      <w:r>
        <w:t>2. Scope</w:t>
      </w:r>
    </w:p>
    <w:p>
      <w:r>
        <w:t>Applies to the pharmacy and every clinical area that stores medication.</w:t>
      </w:r>
    </w:p>
    <w:p>
      <w:pPr>
        <w:pStyle w:val="Heading1"/>
      </w:pPr>
      <w:r>
        <w:t>3. Responsibility</w:t>
      </w:r>
    </w:p>
    <w:p>
      <w:r>
        <w:t xml:space="preserve">Chief Pharmacist: </w:t>
      </w:r>
      <w:r>
        <w:t>maintains the high-risk and LASA lists, and confirms physical separation is in place.</w:t>
      </w:r>
    </w:p>
    <w:p>
      <w:r>
        <w:t xml:space="preserve">Ward/Unit In-Charge: </w:t>
      </w:r>
      <w:r>
        <w:t>confirms separation is maintained in their own area between pharmacy updates.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LASA: </w:t>
      </w:r>
      <w:r>
        <w:t>Look-Alike, Sound-Alike — medications whose names or packaging look or sound similar enough to be mixed up by mistake.</w:t>
      </w:r>
    </w:p>
    <w:p>
      <w:pPr>
        <w:pStyle w:val="ListParagraph"/>
      </w:pPr>
      <w:r>
        <w:rPr>
          <w:b/>
        </w:rPr>
        <w:t xml:space="preserve">High-alert medication: </w:t>
      </w:r>
      <w:r>
        <w:t>A medication that carries a heightened risk of serious harm if given in error, even though errors with it may not be more frequent than with other drugs.</w:t>
      </w:r>
    </w:p>
    <w:p>
      <w:pPr>
        <w:pStyle w:val="ListParagraph"/>
      </w:pPr>
      <w:r>
        <w:rPr>
          <w:b/>
        </w:rPr>
        <w:t xml:space="preserve">Formulary: </w:t>
      </w:r>
      <w:r>
        <w:t>The hospital's approved list of medications that can be prescribed and stocked.</w:t>
      </w:r>
    </w:p>
    <w:p>
      <w:pPr>
        <w:pStyle w:val="ListParagraph"/>
      </w:pPr>
      <w:r>
        <w:rPr>
          <w:b/>
        </w:rPr>
        <w:t xml:space="preserve">Tall Man lettering: </w:t>
      </w:r>
      <w:r>
        <w:t>A way of writing part of a drug name in capital letters (e.g. hydrOXYzine vs hydrALAZINE) to make look-alike names easier to tell apart at a glance.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High-risk medication list and storage</w:t>
      </w:r>
    </w:p>
    <w:p>
      <w:r>
        <w:rPr>
          <w:b/>
          <w:i/>
        </w:rPr>
        <w:t>Why this step matters: A high-risk medication stored like any other is one misread label away from a serious harm event — a defined list and a physical safeguard are what make that medication harder to reach for by mistake.</w:t>
      </w:r>
      <w:r>
        <w:rPr>
          <w:i/>
        </w:rPr>
      </w:r>
    </w:p>
    <w:p>
      <w:r>
        <w:t>1. Maintain a defined, periodically updated high-risk medication list, posted in the pharmacy and every clinical area where high-risk medications are stored.</w:t>
      </w:r>
    </w:p>
    <w:p>
      <w:r>
        <w:t>2. Store high-risk medications in predetermined, clinically justified locations with a safeguard against inadvertent administration — an auxiliary warning label, a double-lock, or an equivalent measure.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Institute for Safe Medication Practices. (2024). ISMP list of high-alert medications in acute care settings.</w:t>
        </w:r>
      </w:hyperlink>
    </w:p>
    <w:p>
      <w:pPr>
        <w:pStyle w:val="Heading2"/>
      </w:pPr>
      <w:r>
        <w:t>5.2 What counts as a LASA pair, and examples</w:t>
      </w:r>
    </w:p>
    <w:p>
      <w:r>
        <w:rPr>
          <w:b/>
          <w:i/>
        </w:rPr>
        <w:t>Why this step matters: A pair that looks or sounds alike gets missed exactly because nobody wrote down that it was a pair — naming it here is what lets the next person recognise the risk before they reach for the wrong one.</w:t>
      </w:r>
      <w:r>
        <w:rPr>
          <w:i/>
        </w:rPr>
      </w:r>
    </w:p>
    <w:p>
      <w:r>
        <w:t>1. A LASA pair is two medications whose names look similar when written (look-alike) or sound similar when spoken (sound-alike), creating a real risk that one is picked, prescribed, or dispensed in place of the other. Some pairs are both. Examples published by the Institute for Safe Medication Practices (ISMP) include:</w:t>
      </w:r>
    </w:p>
    <w:p>
      <w:r>
        <w:t>2. hydrALAZINE and hydrOXYzine — sound-alike; one is a blood-pressure medication, the other an antihistamine/sedative.</w:t>
      </w:r>
    </w:p>
    <w:p>
      <w:r>
        <w:t>3. amILORIDE and amLODIPine — look-alike; a potassium-sparing diuretic confused with a calcium-channel blocker.</w:t>
      </w:r>
    </w:p>
    <w:p>
      <w:r>
        <w:t>4. DOPamine and DOBUTamine — sound-alike and look-alike; both are cardiac infusions with very different dosing, making this pair especially dangerous in an ICU or emergency setting.</w:t>
      </w:r>
    </w:p>
    <w:p>
      <w:r>
        <w:t>5. amiodarone and amantadine — sound-alike; an antiarrhythmic confused with an antiviral/antiparkinsonian agent.</w:t>
      </w:r>
    </w:p>
    <w:p>
      <w:r>
        <w:t>6. These four are illustrations, not the hospital's actual list — pharmacy staff cross-check the full current ISMP List of Confused Drug Names (Section 9 reference) against «Hospital Name»'s own formulary to build and maintain the working list for this hospital.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Institute for Safe Medication Practices. (2023). ISMP list of confused drug names.</w:t>
        </w:r>
      </w:hyperlink>
    </w:p>
    <w:p>
      <w:pPr>
        <w:pStyle w:val="Heading2"/>
      </w:pPr>
      <w:r>
        <w:t>5.3 Identifying LASA pairs specific to this hospital</w:t>
      </w:r>
    </w:p>
    <w:p>
      <w:r>
        <w:rPr>
          <w:b/>
          <w:i/>
        </w:rPr>
        <w:t>Why this step matters: The published ISMP list reflects drugs on the market generally, not this hospital's own formulary — the annual cross-check is what catches a hospital-specific LASA pair the published list was never going to name.</w:t>
      </w:r>
      <w:r>
        <w:rPr>
          <w:i/>
        </w:rPr>
      </w:r>
    </w:p>
    <w:p>
      <w:r>
        <w:t>1. The Chief Pharmacist cross-checks every item on the current formulary against the ISMP List of Confused Drug Names at least once a year, and whenever a new medication is added to the formulary.</w:t>
      </w:r>
    </w:p>
    <w:p>
      <w:r>
        <w:t>2. Where two formulary medications are not on the ISMP list but share a similar spelling, pronunciation, packaging appearance, or storage location, add the pair to the hospital's own list — the ISMP list is a starting point, not a ceiling.</w:t>
      </w:r>
    </w:p>
    <w:p>
      <w:r>
        <w:t>3. Give particular attention to medications stored near each other alphabetically or by drug class, since proximity increases risk even for names that are only moderately similar.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Institute for Safe Medication Practices. (2023). ISMP list of confused drug names.</w:t>
        </w:r>
      </w:hyperlink>
    </w:p>
    <w:p>
      <w:pPr>
        <w:pStyle w:val="Heading2"/>
      </w:pPr>
      <w:r>
        <w:t>5.4 Separation and labelling</w:t>
      </w:r>
    </w:p>
    <w:p>
      <w:r>
        <w:rPr>
          <w:b/>
          <w:i/>
        </w:rPr>
        <w:t xml:space="preserve">Why this step matters: </w:t>
      </w:r>
      <w:r>
        <w:rPr>
          <w:i/>
        </w:rPr>
        <w:t>If this isn't written down or labelled, there's no way to prove later it actually happened, and no way for the next person to know what was done.</w:t>
      </w:r>
    </w:p>
    <w:p>
      <w:r>
        <w:t>1. Physically separate every listed LASA pair in the pharmacy and in every patient care area where either drug is stored — never store them on adjacent shelves or bins.</w:t>
      </w:r>
    </w:p>
    <w:p>
      <w:r>
        <w:t>2. Use Tall Man lettering (capitalising the differing letters, e.g. hydrALAZINE / hydrOXYzine) on LASA medication labels and storage bins wherever practicable, following the ISMP-recommended pattern for that pair.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Institute for Safe Medication Practices. (2023). Tall man lettering for drug names.</w:t>
        </w:r>
      </w:hyperlink>
    </w:p>
    <w:p>
      <w:pPr>
        <w:pStyle w:val="Heading2"/>
      </w:pPr>
      <w:r>
        <w:t>5.5 Emergency medication stock</w:t>
      </w:r>
    </w:p>
    <w:p>
      <w:r>
        <w:rPr>
          <w:b/>
          <w:i/>
        </w:rPr>
        <w:t>Why this step matters: Emergency stock is used under pressure, with no time to double-check — keeping it uniform and verified in advance is what makes it trustworthy in the one moment it actually gets reached for.</w:t>
      </w:r>
      <w:r>
        <w:rPr>
          <w:i/>
        </w:rPr>
      </w:r>
    </w:p>
    <w:p>
      <w:r>
        <w:t>1. Maintain the defined emergency-medication list, uniformly stored and kept free of other drugs.</w:t>
      </w:r>
    </w:p>
    <w:p>
      <w:r>
        <w:t>2. Check emergency stock at least daily — or, for sealed carts, after each use or once a month — and replenish immediately after use.</w:t>
      </w:r>
    </w:p>
    <w:p>
      <w:pPr>
        <w:pStyle w:val="Heading1"/>
      </w:pPr>
      <w:r>
        <w:t>6.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store a listed LASA pair or different concentration of the same drug on the same shelf, bin, or drawer — physical separation is mandatory, every time, in every area. Any staff member who finds a LASA pair stored together corrects it immediately and reports it the same shift — this is never treated as a disciplinary matter.</w:t>
      </w:r>
    </w:p>
    <w:p>
      <w:pPr>
        <w:pStyle w:val="Heading1"/>
      </w:pPr>
      <w:r>
        <w:t>7. Records</w:t>
      </w:r>
    </w:p>
    <w:p>
      <w:r>
        <w:t>Supported by Records 4 through 7 of the MOM.3 Required Records pack: High-Risk Medication List, High-Risk Storage Safeguard Record, LASA Medication List, and LASA Physical Separation Audit.</w:t>
      </w:r>
    </w:p>
    <w:p>
      <w:pPr>
        <w:pStyle w:val="Heading1"/>
      </w:pPr>
      <w:r>
        <w:t>8. Related Documents</w:t>
      </w:r>
    </w:p>
    <w:p>
      <w:pPr>
        <w:pStyle w:val="ListParagraph"/>
      </w:pPr>
      <w:r>
        <w:t>Policy on Storage and Availability of Medications (HCO/MOM/POL/03) — MOM.3 policy, Section 5.5 (LASA identification and separation)</w:t>
      </w:r>
    </w:p>
    <w:p>
      <w:pPr>
        <w:pStyle w:val="Heading1"/>
      </w:pPr>
      <w:r>
        <w:t>9. Where This SOP's Requirements Come From (Verified Sources)</w:t>
      </w:r>
    </w:p>
    <w:p>
      <w:pPr>
        <w:pStyle w:val="ListParagraph"/>
      </w:pPr>
      <w:hyperlink r:id="rId12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ListParagraph"/>
      </w:pPr>
      <w:hyperlink r:id="rId13">
        <w:r>
          <w:rPr>
            <w:color w:val="0563C1"/>
            <w:u w:val="single"/>
          </w:rPr>
          <w:t>ISMP — List of Confused Drug Names</w:t>
        </w:r>
      </w:hyperlink>
    </w:p>
    <w:p>
      <w:pPr>
        <w:pStyle w:val="ListParagraph"/>
      </w:pPr>
      <w:hyperlink r:id="rId14">
        <w:r>
          <w:rPr>
            <w:color w:val="0563C1"/>
            <w:u w:val="single"/>
          </w:rPr>
          <w:t>ISMP — List of High-Alert Medications in Acute Care Settings (2024)</w:t>
        </w:r>
      </w:hyperlink>
    </w:p>
    <w:p>
      <w:pPr>
        <w:pStyle w:val="Heading1"/>
      </w:pPr>
      <w:r>
        <w:t>10. Review</w:t>
      </w:r>
    </w:p>
    <w:p>
      <w:r>
        <w:t>Reviewed annually, and immediately after any LASA-related near miss or error.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smp.org/system/files/resources/2024-01/2024%20High-Alert%20medications%20List.pdf" TargetMode="External"/><Relationship Id="rId10" Type="http://schemas.openxmlformats.org/officeDocument/2006/relationships/hyperlink" Target="https://www.ismp.org/system/files/resources/2023-10/ISMP_ConfusedDrugNames_2023.pdf" TargetMode="External"/><Relationship Id="rId11" Type="http://schemas.openxmlformats.org/officeDocument/2006/relationships/hyperlink" Target="https://www.ismp.org/system/files/resources/2023-01/ISMP_Tallman_Letters_012523_MS5087%20(2).pdf" TargetMode="External"/><Relationship Id="rId12" Type="http://schemas.openxmlformats.org/officeDocument/2006/relationships/hyperlink" Target="https://nabh.co/programmes/hospitals-accreditation-programme-hco/" TargetMode="External"/><Relationship Id="rId13" Type="http://schemas.openxmlformats.org/officeDocument/2006/relationships/hyperlink" Target="https://home.ecri.org/blogs/ismp-resources/list-of-confused-drug-names" TargetMode="External"/><Relationship Id="rId14" Type="http://schemas.openxmlformats.org/officeDocument/2006/relationships/hyperlink" Target="https://home.ecri.org/blogs/ismp-resources/high-alert-medications-in-acute-care-set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