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Protecting Patient Privacy, Dignity, Confidentiality and Preventing Neglect or Abuse</w:t>
      </w:r>
    </w:p>
    <w:p>
      <w:r>
        <w:t>«Hospital Name» — Supports PRE.2.a-d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Some of the most basic — and most easily overlooked — patient rights are about how a patient is physically and emotionally treated during care: staying covered during an exam, not being left neglected, and not having private information talked about where others can hear. This SOP is the everyday playbook for getting those basics right, every time, for every patient, especially the ones who can't speak up for themselves.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respects patient values and beliefs, protects privacy and dignity during examination and procedures, protects patients — especially vulnerable patients — from neglect or abuse, and maintains confidentiality of patient information.</w:t>
      </w:r>
    </w:p>
    <w:p>
      <w:pPr>
        <w:pStyle w:val="Heading1"/>
      </w:pPr>
      <w:r>
        <w:t>2. Scope</w:t>
      </w:r>
    </w:p>
    <w:p>
      <w:r>
        <w:t>Applies to all clinical and nursing staff involved in examination, procedures and treatment, and to all patients and families receiving care.</w:t>
      </w:r>
    </w:p>
    <w:p>
      <w:pPr>
        <w:pStyle w:val="Heading1"/>
      </w:pPr>
      <w:r>
        <w:t>3. Responsibility</w:t>
      </w:r>
    </w:p>
    <w:p>
      <w:r>
        <w:t xml:space="preserve">Admitting Nurse: </w:t>
      </w:r>
      <w:r>
        <w:t>records patient values, beliefs and cultural/spiritual preferences at admission (Record 1).</w:t>
      </w:r>
    </w:p>
    <w:p>
      <w:r>
        <w:t xml:space="preserve">Treating Team: </w:t>
      </w:r>
      <w:r>
        <w:t>maintains privacy and dignity during examination/procedures and takes explicit consent before any photography or recording (Records 2-3).</w:t>
      </w:r>
    </w:p>
    <w:p>
      <w:r>
        <w:t xml:space="preserve">Ward In-charge: </w:t>
      </w:r>
      <w:r>
        <w:t>applies special precautions for vulnerable patients and reports any neglect/abuse concern the same shift (Records 6-8).</w:t>
      </w:r>
    </w:p>
    <w:p>
      <w:r>
        <w:t xml:space="preserve">Quality Coordinator: </w:t>
      </w:r>
      <w:r>
        <w:t>audits privacy practice periodically and maintains the stop-work logs (Records 4-5, 8).</w:t>
      </w:r>
    </w:p>
    <w:p>
      <w:r>
        <w:t xml:space="preserve">Medical Records Officer / All Staff: </w:t>
      </w:r>
      <w:r>
        <w:t>follow the confidentiality guidelines and complete confidentiality training (Records 9-11).</w:t>
      </w:r>
    </w:p>
    <w:p>
      <w:pPr>
        <w:pStyle w:val="Heading1"/>
      </w:pPr>
      <w:r>
        <w:t>4. Plain-Language Glossary</w:t>
      </w:r>
    </w:p>
    <w:p>
      <w:r>
        <w:t>If a word below is unfamiliar, this is what it means in this SOP:</w:t>
      </w:r>
    </w:p>
    <w:p>
      <w:pPr>
        <w:pStyle w:val="ListParagraph"/>
      </w:pPr>
      <w:r>
        <w:rPr>
          <w:b/>
        </w:rPr>
        <w:t xml:space="preserve">Vulnerable patient: </w:t>
      </w:r>
      <w:r>
        <w:t>A patient less able to protect or speak up for themselves — for example the elderly, newborns, unconscious patients, or those under anaesthesia.</w:t>
      </w:r>
    </w:p>
    <w:p>
      <w:pPr>
        <w:pStyle w:val="ListParagraph"/>
      </w:pPr>
      <w:r>
        <w:rPr>
          <w:b/>
        </w:rPr>
        <w:t xml:space="preserve">Stop-work event: </w:t>
      </w:r>
      <w:r>
        <w:t>A moment when a staff member actively stops an exam, procedure or unsafe situation on the spot, without waiting for permission, because a patient's privacy or safety is being violated right then.</w:t>
      </w:r>
    </w:p>
    <w:p>
      <w:pPr>
        <w:pStyle w:val="ListParagraph"/>
      </w:pPr>
      <w:r>
        <w:rPr>
          <w:b/>
        </w:rPr>
        <w:t xml:space="preserve">Confidentiality: </w:t>
      </w:r>
      <w:r>
        <w:t>Keeping a patient's personal and medical information private — not discussing it where others can overhear, and not sharing it without permission.</w:t>
      </w:r>
    </w:p>
    <w:p>
      <w:pPr>
        <w:pStyle w:val="Heading1"/>
      </w:pPr>
      <w:r>
        <w:t>5. Procedure</w:t>
      </w:r>
    </w:p>
    <w:p>
      <w:pPr>
        <w:pStyle w:val="Heading2"/>
      </w:pPr>
      <w:r>
        <w:t>5.1 Respecting values, beliefs and cultural needs</w:t>
      </w:r>
    </w:p>
    <w:p>
      <w:r>
        <w:rPr>
          <w:b/>
          <w:i/>
        </w:rPr>
        <w:t xml:space="preserve">Why this step matters: </w:t>
      </w:r>
      <w:r>
        <w:rPr>
          <w:i/>
        </w:rPr>
        <w:t>Getting this wrong doesn't show up as a clinical error, so it's easy to skip — but forcing a patient into care that clashes with their beliefs is still a rights violation.</w:t>
      </w:r>
    </w:p>
    <w:p>
      <w:r>
        <w:t>1. At admission, ask about and record how the patient wishes to be addressed, dietary preference, worship requirements, and any specific requirement following death (Record 1).</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5.2 Privacy and dignity during examination and procedures</w:t>
      </w:r>
    </w:p>
    <w:p>
      <w:r>
        <w:rPr>
          <w:b/>
          <w:i/>
        </w:rPr>
        <w:t xml:space="preserve">Why this step matters: </w:t>
      </w:r>
      <w:r>
        <w:rPr>
          <w:i/>
        </w:rPr>
        <w:t>A patient exposed longer than necessary, or without a closed door or drawn curtain, has had their dignity violated even if the exam itself was medically correct.</w:t>
      </w:r>
    </w:p>
    <w:p>
      <w:r>
        <w:t>1. Follow the written privacy and dignity guidelines (Record 2) for every examination — screens, drapes, closed doors, and exposing the patient only just before the actual procedure.</w:t>
      </w:r>
    </w:p>
    <w:p>
      <w:r>
        <w:t>2. Take explicit informed consent before any photograph or recording of a procedure, and ensure the patient's identity is not revealed (Record 3).</w:t>
      </w:r>
    </w:p>
    <w:p>
      <w:r>
        <w:t>3. Conduct periodic privacy-practice audits and log findings (Record 4).</w:t>
      </w:r>
    </w:p>
    <w:p>
      <w:r>
        <w:t>4. If an examination or procedure is stopped for exposing the patient beyond what is required, or leaving them without privacy, log it the same shift (Record 5) and notify the treating doctor and Medical Superintendent per Section 6 of the policy.</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ListParagraph"/>
      </w:pPr>
      <w:hyperlink r:id="rId10">
        <w:r>
          <w:rPr>
            <w:color w:val="0563C1"/>
            <w:u w:val="single"/>
          </w:rPr>
          <w:t>Medical Council of India. (2002). Indian Medical Council (Professional Conduct, Etiquette and Ethics) Regulations, 2002. https://www.nmc.org.in/rules-regulations/code-of-medical-ethics-regulations-2002/</w:t>
        </w:r>
      </w:hyperlink>
    </w:p>
    <w:p>
      <w:pPr>
        <w:pStyle w:val="Heading2"/>
      </w:pPr>
      <w:r>
        <w:t>5.3 Protecting patients from neglect and abuse</w:t>
      </w:r>
    </w:p>
    <w:p>
      <w:r>
        <w:rPr>
          <w:b/>
          <w:i/>
        </w:rPr>
        <w:t xml:space="preserve">Why this step matters: </w:t>
      </w:r>
      <w:r>
        <w:rPr>
          <w:i/>
        </w:rPr>
        <w:t>Vulnerable patients often can't call for help themselves, so protection has to be proactive, not reactive.</w:t>
      </w:r>
    </w:p>
    <w:p>
      <w:r>
        <w:t>1. Take special precautions for vulnerable patients — elderly, neonates, physically/mentally challenged, comatose, and patients under anaesthesia — and log the precaution taken (Record 7).</w:t>
      </w:r>
    </w:p>
    <w:p>
      <w:r>
        <w:t>2. Report any neglect or abuse event immediately; file an incident report the same shift (Record 6).</w:t>
      </w:r>
    </w:p>
    <w:p>
      <w:r>
        <w:t>3. If an unsafe neglect/abuse situation triggers a stop-work event, protect the patient, report it the same shift, and log it (Record 8).</w:t>
      </w:r>
    </w:p>
    <w:p>
      <w:r>
        <w:rPr>
          <w:b/>
          <w:i/>
          <w:sz w:val="18"/>
        </w:rPr>
        <w:t xml:space="preserve">Technical source(s) for these steps: </w:t>
      </w:r>
    </w:p>
    <w:p>
      <w:pPr>
        <w:pStyle w:val="ListParagraph"/>
      </w:pPr>
      <w:hyperlink r:id="rId11">
        <w:r>
          <w:rPr>
            <w:color w:val="0563C1"/>
            <w:u w:val="single"/>
          </w:rPr>
          <w:t>Government of India. (2007). Maintenance and Welfare of Parents and Senior Citizens Act, 2007.</w:t>
        </w:r>
      </w:hyperlink>
    </w:p>
    <w:p>
      <w:pPr>
        <w:pStyle w:val="ListParagraph"/>
      </w:pPr>
      <w:hyperlink r:id="rId12">
        <w:r>
          <w:rPr>
            <w:color w:val="0563C1"/>
            <w:u w:val="single"/>
          </w:rPr>
          <w:t>Government of India. (2016). Rights of Persons with Disabilities Act, 2016.</w:t>
        </w:r>
      </w:hyperlink>
    </w:p>
    <w:p>
      <w:pPr>
        <w:pStyle w:val="Heading2"/>
      </w:pPr>
      <w:r>
        <w:t>5.4 Maintaining confidentiality</w:t>
      </w:r>
    </w:p>
    <w:p>
      <w:r>
        <w:rPr>
          <w:b/>
          <w:i/>
        </w:rPr>
        <w:t xml:space="preserve">Why this step matters: </w:t>
      </w:r>
      <w:r>
        <w:rPr>
          <w:i/>
        </w:rPr>
        <w:t>Confidentiality breaches are usually careless, not malicious — a hallway conversation, a chart left visible — so the rule has to be explicit and trained, not assumed.</w:t>
      </w:r>
    </w:p>
    <w:p>
      <w:r>
        <w:t>1. Follow the written confidentiality guidelines (Record 9) — no discussion of patient information in public places, and confidential information including HIV status is not revealed without permission or displayed where the public can see it.</w:t>
      </w:r>
    </w:p>
    <w:p>
      <w:r>
        <w:t>2. Complete confidentiality training at induction and periodically (Record 10).</w:t>
      </w:r>
    </w:p>
    <w:p>
      <w:r>
        <w:t>3. If a breach occurs, investigate and record it the same day (Record 11).</w:t>
      </w:r>
    </w:p>
    <w:p>
      <w:r>
        <w:rPr>
          <w:b/>
          <w:i/>
          <w:sz w:val="18"/>
        </w:rPr>
        <w:t xml:space="preserve">Technical source(s) for these steps: </w:t>
      </w:r>
    </w:p>
    <w:p>
      <w:pPr>
        <w:pStyle w:val="ListParagraph"/>
      </w:pPr>
      <w:hyperlink r:id="rId10">
        <w:r>
          <w:rPr>
            <w:color w:val="0563C1"/>
            <w:u w:val="single"/>
          </w:rPr>
          <w:t>Medical Council of India. (2002). Indian Medical Council (Professional Conduct, Etiquette and Ethics) Regulations, 2002. https://www.nmc.org.in/rules-regulations/code-of-medical-ethics-regulations-2002/</w:t>
        </w:r>
      </w:hyperlink>
    </w:p>
    <w:p>
      <w:pPr>
        <w:pStyle w:val="ListParagraph"/>
      </w:pPr>
      <w:hyperlink r:id="rId13">
        <w:r>
          <w:rPr>
            <w:color w:val="0563C1"/>
            <w:u w:val="single"/>
          </w:rPr>
          <w:t>Government of India. (2017). The HIV and AIDS (Prevention and Control) Act, 2017.</w:t>
        </w:r>
      </w:hyperlink>
    </w:p>
    <w:p>
      <w:pPr>
        <w:pStyle w:val="Heading1"/>
      </w:pPr>
      <w:r>
        <w:t>6. Records</w:t>
      </w:r>
    </w:p>
    <w:p>
      <w:r>
        <w:t>This SOP produces and maintains Records 1 through 11 listed above.</w:t>
      </w:r>
    </w:p>
    <w:p>
      <w:pPr>
        <w:pStyle w:val="Heading1"/>
      </w:pPr>
      <w:r>
        <w:t>7. Related Documents</w:t>
      </w:r>
    </w:p>
    <w:p>
      <w:pPr>
        <w:pStyle w:val="ListParagraph"/>
      </w:pPr>
      <w:r>
        <w:t>Policy on Patient and Family Rights in Care and Decision-Making (HCO/PRE/POL/02) — PRE.2 policy (this SOP supports PRE.2.a-d)</w:t>
      </w:r>
    </w:p>
    <w:p>
      <w:pPr>
        <w:pStyle w:val="ListParagraph"/>
      </w:pPr>
      <w:r>
        <w:t>PRE.2 Required Records — Records 1 through 11</w:t>
      </w:r>
    </w:p>
    <w:p>
      <w:pPr>
        <w:pStyle w:val="Heading1"/>
      </w:pPr>
      <w:r>
        <w:t>8. Where This SOP's Requirements Come From (Verified Sources)</w:t>
      </w:r>
    </w:p>
    <w:p>
      <w:pPr>
        <w:pStyle w:val="ListParagraph"/>
      </w:pPr>
      <w:hyperlink r:id="rId14">
        <w:r>
          <w:rPr>
            <w:color w:val="0563C1"/>
            <w:u w:val="single"/>
          </w:rPr>
          <w:t>National Accreditation Board for Hospitals and Healthcare Providers. (2025). NABH accreditation standards for hospitals (6th ed.), PRE.2. ISBN 978-81-965264-9-8. https://portal.nabh.co/images/Standards/NABH%20Hospital%20Accreditation%20Standard%206th%20Edition%20January%202025.pdf</w:t>
        </w:r>
      </w:hyperlink>
    </w:p>
    <w:p>
      <w:pPr>
        <w:pStyle w:val="Heading1"/>
      </w:pPr>
      <w:r>
        <w:t>9. Review</w:t>
      </w:r>
    </w:p>
    <w:p>
      <w:r>
        <w:t>This SOP is reviewed annually by the Quality Coordinator, or immediately after any confirmed neglect, abuse or confidentiality-breach incident.</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inicalestablishments.mohfw.gov.in/sites/default/files/2023-06/3181.pdf" TargetMode="External"/><Relationship Id="rId10" Type="http://schemas.openxmlformats.org/officeDocument/2006/relationships/hyperlink" Target="https://www.nmc.org.in/rules-regulations/code-of-medical-ethics-regulations-2002/" TargetMode="External"/><Relationship Id="rId11" Type="http://schemas.openxmlformats.org/officeDocument/2006/relationships/hyperlink" Target="https://www.indiacode.nic.in/bitstream/123456789/8865/1/200756senior_citizenact.pdf" TargetMode="External"/><Relationship Id="rId12" Type="http://schemas.openxmlformats.org/officeDocument/2006/relationships/hyperlink" Target="https://www.indiacode.nic.in/bitstream/123456789/9320/1/disabilitiesacta2016-49.pdf" TargetMode="External"/><Relationship Id="rId13" Type="http://schemas.openxmlformats.org/officeDocument/2006/relationships/hyperlink" Target="https://www.indiacode.nic.in/bitstream/123456789/2254/1/a2017-16.pdf" TargetMode="External"/><Relationship Id="rId14"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