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Patient Safety Programme</w:t>
      </w:r>
    </w:p>
    <w:p>
      <w:r>
        <w:t>«Hospital Name» — Supports PSQ.1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The purpose of this policy is to establish the structure and approach for the patient safety programme, including the multi-disciplinary safety committee, patient safety officer, programme scope and coverage, proactive risk analysis, annual programme review and adoption of national and international patient-safety goals, solutions or frameworks. This policy does not cover matters outside the patient safety programme. If you're new to patient safety and quality work, the short version is: this SOP tells you exactly what to do, in what order, and which record proves you did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establish the structure and approach for the patient safety programme, including the multi-disciplinary safety committee, patient safety officer, programme scope and coverage, proactive risk analysis, annual programme review and adoption of national and international patient-safety goals, solutions or frameworks. This policy does not cover matters outside the patient safety programme.</w:t>
      </w:r>
    </w:p>
    <w:p>
      <w:pPr>
        <w:pStyle w:val="Heading1"/>
      </w:pPr>
      <w:r>
        <w:t>2. Scope</w:t>
      </w:r>
    </w:p>
    <w:p>
      <w:r>
        <w:t>This policy applies across «Hospital Name» to the patient safety programme and the activities supporting patient safety and quality improvement. It applies to the multi-disciplinary safety committee, designated patient safety officer(s), leadership, relevant staff, departments and, where applicable, the governing body.</w:t>
      </w:r>
    </w:p>
    <w:p>
      <w:pPr>
        <w:pStyle w:val="Heading1"/>
      </w:pPr>
      <w:r>
        <w:t>3. Responsibility</w:t>
      </w:r>
    </w:p>
    <w:p>
      <w:r>
        <w:t xml:space="preserve">Quality Coordinator: </w:t>
      </w:r>
      <w:r>
        <w:t>leads day-to-day work on this policy and owns the required records.</w:t>
      </w:r>
    </w:p>
    <w:p>
      <w:r>
        <w:t xml:space="preserve">Safety/Quality Committee: </w:t>
      </w:r>
      <w:r>
        <w:t>reviews progress on this policy at least monthly and signs off the annual review.</w:t>
      </w:r>
    </w:p>
    <w:p>
      <w:r>
        <w:t xml:space="preserve">Department Heads: </w:t>
      </w:r>
      <w:r>
        <w:t>carry out the parts of this policy that apply within their own department.</w:t>
      </w:r>
    </w:p>
    <w:p>
      <w:r>
        <w:t xml:space="preserve">Medical Superintendent / Governing Body: </w:t>
      </w:r>
      <w:r>
        <w:t>provides resources and reviews outcomes reported to them.</w:t>
      </w:r>
    </w:p>
    <w:p>
      <w:r>
        <w:t xml:space="preserve">All staff in scope: </w:t>
      </w:r>
      <w:r>
        <w:t>follow the steps below and raise any Stop-Work concern immediately, without waiting for permission.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Sentinel Event: </w:t>
      </w:r>
      <w:r>
        <w:t>A serious, unexpected incident causing death or major harm that the organisation has decided in advance always gets a full analysis.</w:t>
      </w:r>
    </w:p>
    <w:p>
      <w:pPr>
        <w:pStyle w:val="ListParagraph"/>
      </w:pPr>
      <w:r>
        <w:rPr>
          <w:b/>
        </w:rPr>
        <w:t xml:space="preserve">Near Miss: </w:t>
      </w:r>
      <w:r>
        <w:t>Something that could have harmed a patient but was caught before it did.</w:t>
      </w:r>
    </w:p>
    <w:p>
      <w:pPr>
        <w:pStyle w:val="ListParagraph"/>
      </w:pPr>
      <w:r>
        <w:rPr>
          <w:b/>
        </w:rPr>
        <w:t xml:space="preserve">Adverse Event: </w:t>
      </w:r>
      <w:r>
        <w:t>An incident that did cause some harm to a patient.</w:t>
      </w:r>
    </w:p>
    <w:p>
      <w:pPr>
        <w:pStyle w:val="ListParagraph"/>
      </w:pPr>
      <w:r>
        <w:rPr>
          <w:b/>
        </w:rPr>
        <w:t xml:space="preserve">Root-Cause Analysis (RCA): </w:t>
      </w:r>
      <w:r>
        <w:t>Asking 'why' repeatedly until the real underlying cause is found, not just the first obvious mistake.</w:t>
      </w:r>
    </w:p>
    <w:p>
      <w:pPr>
        <w:pStyle w:val="ListParagraph"/>
      </w:pPr>
      <w:r>
        <w:rPr>
          <w:b/>
        </w:rPr>
        <w:t xml:space="preserve">HFMEA (Healthcare Failure Mode and Effect Analysis): </w:t>
      </w:r>
      <w:r>
        <w:t>A structured way to find and fix a risky process before it hurts anyone — a team maps the process step by step, scores each way it could fail on a Severity × Probability hazard-score matrix (1–16), and fixes the highest scores first. It is not the same 3-factor formula (Severity × Occurrence × Detectability) used in traditional industrial FMEA.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Implement the patient safety programme and safety committee</w:t>
      </w:r>
    </w:p>
    <w:p>
      <w:r>
        <w:rPr>
          <w:b/>
          <w:i/>
        </w:rPr>
        <w:t>Why this step matters: A committee that exists only on paper, without real authority or a fixed meeting cadence, can't actually catch and fix anything — this step is what makes the whole programme more than a policy document.</w:t>
      </w:r>
      <w:r>
        <w:rPr>
          <w:i/>
        </w:rPr>
      </w:r>
    </w:p>
    <w:p>
      <w:r>
        <w:t>1. Charter a Patient Safety Committee with a written Terms of Reference stating its authority and scope, reporting directly to the Governing Body/CEO — not buried under one department.</w:t>
      </w:r>
    </w:p>
    <w:p>
      <w:pPr/>
      <w:r>
        <w:t>2. Give the Committee multidisciplinary membership, including at minimum:</w:t>
      </w:r>
    </w:p>
    <w:p>
      <w:pPr/>
      <w:r>
        <w:t>a. A senior-clinician Chair.</w:t>
      </w:r>
    </w:p>
    <w:p>
      <w:pPr/>
      <w:r>
        <w:t>b. A Quality/Patient Safety Officer as secretary.</w:t>
      </w:r>
    </w:p>
    <w:p>
      <w:pPr/>
      <w:r>
        <w:t>c. Nursing.</w:t>
      </w:r>
    </w:p>
    <w:p>
      <w:pPr/>
      <w:r>
        <w:t>d. Pharmacy.</w:t>
      </w:r>
    </w:p>
    <w:p>
      <w:pPr/>
      <w:r>
        <w:t>e. Infection control.</w:t>
      </w:r>
    </w:p>
    <w:p>
      <w:pPr/>
      <w:r>
        <w:t>f. Laboratory.</w:t>
      </w:r>
    </w:p>
    <w:p>
      <w:pPr/>
      <w:r>
        <w:t>g. A patient/family representative.</w:t>
      </w:r>
    </w:p>
    <w:p>
      <w:r>
        <w:t>3. Meet at least monthly as a full committee, with weekly huddles for active incident review, and report a consolidated summary to the Governing Body at least quarterly.</w:t>
      </w:r>
    </w:p>
    <w:p>
      <w:r>
        <w:t>4. Build a non-punitive reporting pipeline: frontline staff → unit incident report → committee review within 30 days → root-cause analysis for any sentinel event within days of detection.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(2011). Multi-professional patient safety curriculum guide.</w:t>
        </w:r>
      </w:hyperlink>
    </w:p>
    <w:p>
      <w:pPr>
        <w:pStyle w:val="Heading2"/>
      </w:pPr>
      <w:r>
        <w:t>5.2 Maintain programme comprehensiveness</w:t>
      </w:r>
    </w:p>
    <w:p>
      <w:r>
        <w:rPr>
          <w:b/>
          <w:i/>
        </w:rPr>
        <w:t>Why this step matters: A safety programme that only watches the wards and ignores diagnostics, outpatients or support services is blind to exactly where many serious incidents actually originate.</w:t>
      </w:r>
      <w:r>
        <w:rPr>
          <w:i/>
        </w:rPr>
      </w:r>
    </w:p>
    <w:p>
      <w:r>
        <w:t>1. Cover every care setting the hospital runs — inpatient, outpatient, diagnostics, support services — in the programme's scope, not just the wards.</w:t>
      </w:r>
    </w:p>
    <w:p>
      <w:r>
        <w:t>2. Cross-check the programme's coverage annually against the hospital's actual service list so a new service line isn't silently left out.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(2011). Multi-professional patient safety curriculum guide.</w:t>
        </w:r>
      </w:hyperlink>
    </w:p>
    <w:p>
      <w:pPr>
        <w:pStyle w:val="Heading2"/>
      </w:pPr>
      <w:r>
        <w:t>5.3 Cover the full incident range</w:t>
      </w:r>
    </w:p>
    <w:p>
      <w:r>
        <w:rPr>
          <w:b/>
          <w:i/>
        </w:rPr>
        <w:t>Why this step matters: A system that only logs sentinel events waits for the worst possible outcome before it learns anything — near-misses are the early warning that stops the sentinel event from happening at all.</w:t>
      </w:r>
      <w:r>
        <w:rPr>
          <w:i/>
        </w:rPr>
      </w:r>
    </w:p>
    <w:p>
      <w:r>
        <w:t>1. Capture every incident type in the reporting system — near miss, adverse event, and sentinel event — not sentinel events alone; a near-miss-only or sentinel-only system misses the pattern that predicts the next serious event.</w:t>
      </w:r>
    </w:p>
    <w:p>
      <w:r>
        <w:t>2. Classify every reported incident against a defined severity scale (No harm → Low → Moderate → Severe → Death) at the point of reporting, and route it accordingly — higher grades to immediate RCA, lower grades into trend monitoring.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Agency for Healthcare Research and Quality, Patient Safety Network. (n.d.). Adverse events, near misses, and errors.</w:t>
        </w:r>
      </w:hyperlink>
    </w:p>
    <w:p>
      <w:pPr>
        <w:pStyle w:val="Heading2"/>
      </w:pPr>
      <w:r>
        <w:t>5.4 Designate the patient safety officer</w:t>
      </w:r>
    </w:p>
    <w:p>
      <w:r>
        <w:rPr>
          <w:b/>
          <w:i/>
        </w:rPr>
        <w:t>Why this step matters: Without one named person holding real authority, 'someone should be watching safety' quietly becomes no one's actual job.</w:t>
      </w:r>
      <w:r>
        <w:rPr>
          <w:i/>
        </w:rPr>
      </w:r>
    </w:p>
    <w:p>
      <w:r>
        <w:t>1. Name one person in writing as Patient Safety Officer, with the role defined in the committee's Terms of Reference, not left implicit in a quality-manager job description.</w:t>
      </w:r>
    </w:p>
    <w:p>
      <w:r>
        <w:t>2. Give the PSO explicit authority to convene an RCA team and to escalate a finding directly to the Governing Body.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5">
        <w:r>
          <w:rPr>
            <w:rStyle w:val="Hyperlink"/>
            <w:i/>
            <w:sz w:val="18"/>
          </w:rPr>
          <w:t>National Accreditation Board for Hospitals and Healthcare Providers. (2025). NABH accreditation standards for hospitals (6th ed.), PSQ.1. ISBN 978-81-965264-9-8. https://portal.nabh.co/images/Standards/NABH%20Hospital%20Accreditation%20Standard%206th%20Edition%20January%202025.pdf</w:t>
        </w:r>
      </w:hyperlink>
    </w:p>
    <w:p>
      <w:pPr>
        <w:pStyle w:val="Heading2"/>
      </w:pPr>
      <w:r>
        <w:t>5.5 Perform proactive risk analysis</w:t>
      </w:r>
    </w:p>
    <w:p>
      <w:r>
        <w:rPr>
          <w:b/>
          <w:i/>
        </w:rPr>
        <w:t>Why this step matters: Waiting for an incident before fixing a risky process is reactive, not safety — proactive analysis finds the failure point before a patient is ever harmed by it.</w:t>
      </w:r>
      <w:r>
        <w:rPr>
          <w:i/>
        </w:rPr>
      </w:r>
    </w:p>
    <w:p>
      <w:r>
        <w:t>1. Select a high-risk process (e.g. chemotherapy preparation, blood transfusion) and assemble a cross-functional team of the people who actually do the work.</w:t>
      </w:r>
    </w:p>
    <w:p>
      <w:r>
        <w:t>2. Map the process step by step as a flowchart, and brainstorm every failure mode at each step, with its potential causes and its effect on the patient.</w:t>
      </w:r>
    </w:p>
    <w:p>
      <w:r>
        <w:t>3. Score each failure mode using the Healthcare FMEA (HFMEA) hazard matrix — Severity (Catastrophic/Major/Moderate/Minor) × Probability (Frequent/Occasional/Uncommon/Remote) — to produce a hazard score, and flag any single point of failure the decision tree identifies regardless of score.</w:t>
      </w:r>
    </w:p>
    <w:p>
      <w:r>
        <w:t>4. Redesign the process to eliminate or control the top-scoring failure modes — forcing functions, checklists, standardisation — then implement and monitor.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U.S. Department of Veterans Affairs, National Center for Patient Safety. (2021). Healthcare Failure Mode and Effect Analysis (HFMEA) guidebook.</w:t>
        </w:r>
      </w:hyperlink>
    </w:p>
    <w:p>
      <w:pPr>
        <w:pStyle w:val="Heading2"/>
      </w:pPr>
      <w:r>
        <w:t>5.6 Review the programme annually</w:t>
      </w:r>
    </w:p>
    <w:p>
      <w:r>
        <w:rPr>
          <w:b/>
          <w:i/>
        </w:rPr>
        <w:t>Why this step matters: A programme never checked against its own data can drift a long way from what's actually happening on the wards before anyone notices.</w:t>
      </w:r>
      <w:r>
        <w:rPr>
          <w:i/>
        </w:rPr>
      </w:r>
    </w:p>
    <w:p>
      <w:r>
        <w:t>1. Schedule the annual programme review formally and base it on real inputs — incident trends, RCA findings, safety-culture survey results, and audit findings — not impression alone.</w:t>
      </w:r>
    </w:p>
    <w:p>
      <w:r>
        <w:t>2. Document the review's findings and any resulting action in the Committee minutes, including an explicit “no gaps found” if that is genuinely the outcome.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5">
        <w:r>
          <w:rPr>
            <w:rStyle w:val="Hyperlink"/>
            <w:i/>
            <w:sz w:val="18"/>
          </w:rPr>
          <w:t>National Accreditation Board for Hospitals and Healthcare Providers. (2025). NABH accreditation standards for hospitals (6th ed.), PSQ.1. ISBN 978-81-965264-9-8. https://portal.nabh.co/images/Standards/NABH%20Hospital%20Accreditation%20Standard%206th%20Edition%20January%202025.pdf</w:t>
        </w:r>
      </w:hyperlink>
    </w:p>
    <w:p>
      <w:pPr>
        <w:pStyle w:val="Heading2"/>
      </w:pPr>
      <w:r>
        <w:t>5.7 Implement national and international patient-safety goals</w:t>
      </w:r>
    </w:p>
    <w:p>
      <w:r>
        <w:rPr>
          <w:b/>
          <w:i/>
        </w:rPr>
        <w:t>Why this step matters: These goals target the specific errors that cause the most preventable harm in hospitals worldwide — skipping any one of them leaves a well-documented, known gap wide open.</w:t>
      </w:r>
      <w:r>
        <w:rPr>
          <w:i/>
        </w:rPr>
      </w:r>
    </w:p>
    <w:p>
      <w:r>
        <w:t>1. Identify Patients Correctly: use two identifiers — full name plus date of birth or MRN, never room/bed number — before any medication, blood draw, procedure or specimen collection.</w:t>
      </w:r>
    </w:p>
    <w:p>
      <w:r>
        <w:t>2. Improve Effective Communication: require read-back for every verbal/telephone order and critical result — the receiver writes it down, reads it back, and the giver confirms.</w:t>
      </w:r>
    </w:p>
    <w:p>
      <w:r>
        <w:t>3. High-Alert Medications: maintain a defined high-alert/look-alike-sound-alike list; store concentrated electrolytes separately, clearly labelled, with restricted/double-check access.</w:t>
      </w:r>
    </w:p>
    <w:p>
      <w:r>
        <w:t>4. Correct-Site, Correct-Procedure, Correct-Patient Surgery: the surgeon marks the site before the patient is prepped, a formal Time-Out is run immediately before incision, and the WHO Surgical Safety Checklist (Sign-In, Time-Out, Sign-Out) is used on every case.</w:t>
      </w:r>
    </w:p>
    <w:p>
      <w:r>
        <w:t>5. Reduce Healthcare-Associated Infection Risk: apply WHO's 5 Moments for hand hygiene and audit compliance with the WHO observation method.</w:t>
      </w:r>
    </w:p>
    <w:p>
      <w:r>
        <w:t>6. Reduce Risk of Falls: screen every inpatient on admission with a validated fall-risk tool, flag high-risk patients visibly, and apply tiered interventions (bed alarms, non-slip footwear, rounding).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2">
        <w:r>
          <w:rPr>
            <w:color w:val="0563C1"/>
            <w:u w:val="single"/>
          </w:rPr>
          <w:t>Joint Commission International. (n.d.). International Patient Safety Goals.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Ministry of Health and Family Welfare, Government of India. (2018). National Patient Safety Implementation Framework (2018–2025).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Absence of a functioning multi-disciplinary safety committee developing, implementing and maintaining the patient safety programme is CORE non-compliance. The patient safety programme must be developed, implemented and maintained by a multi-disciplinary safety committee that meets every month. Failure to have such a committee constitutes the specified stop-work trigger. Absence of adoption and implementation of national and international patient-safety goals, solutions or frameworks is CORE non-compliance. The organisation must at a minimum adhere to the current National Patient-Safety Framework, WHO Patient Safety Solutions and the International Patient Safety Goals. Failure to have adopted and implemented these constitutes the specified stop-work trigger.</w:t>
      </w:r>
    </w:p>
    <w:p>
      <w:pPr>
        <w:pStyle w:val="Heading1"/>
      </w:pPr>
      <w:r>
        <w:t>7. Records</w:t>
      </w:r>
    </w:p>
    <w:p>
      <w:r>
        <w:t>This SOP produces and maintains Records 1 through 18 (see the PSQ.1 Records folder).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Patient Safety Programme (HCO/PSQ/POL/01) — this policy</w:t>
      </w:r>
    </w:p>
    <w:p>
      <w:pPr>
        <w:pStyle w:val="ListParagraph"/>
      </w:pPr>
      <w:r>
        <w:t>Required Records — PSQ.1 (see PSQ.1 Records folder)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5">
        <w:r>
          <w:rPr>
            <w:rStyle w:val="Hyperlink"/>
            <w:i/>
          </w:rPr>
          <w:t>National Accreditation Board for Hospitals and Healthcare Providers. (2025). NABH accreditation standards for hospitals (6th ed.), PSQ.1. ISBN 978-81-965264-9-8. https://portal.nabh.co/images/Standards/NABH%20Hospital%20Accreditation%20Standard%206th%20Edition%20January%202025.pdf</w:t>
        </w:r>
      </w:hyperlink>
    </w:p>
    <w:p>
      <w:pPr>
        <w:pStyle w:val="ListParagraph"/>
      </w:pPr>
      <w:hyperlink r:id="rId14">
        <w:r>
          <w:rPr>
            <w:color w:val="0563C1"/>
            <w:u w:val="single"/>
          </w:rPr>
          <w:t>World Health Organization — Patient Safety Solutions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Joint Commission International — International Patient Safety Goals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Ministry of Health and Family Welfare, Government of India (2018) — National Patient Safety Implementation Framework (2018–2025)</w:t>
        </w:r>
      </w:hyperlink>
    </w:p>
    <w:p>
      <w:pPr>
        <w:pStyle w:val="Heading1"/>
      </w:pPr>
      <w:r>
        <w:t>10. Review</w:t>
      </w:r>
    </w:p>
    <w:p>
      <w:r>
        <w:t>This SOP is reviewed at least annually by the Quality Coordinator together with the Safety/Quality Committee, using the outcomes of the annual programme review, and immediately if an audit or incident analysis finds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teams/integrated-health-services/patient-safety/guidance/curriculum-guide-tools" TargetMode="External"/><Relationship Id="rId10" Type="http://schemas.openxmlformats.org/officeDocument/2006/relationships/hyperlink" Target="https://psnet.ahrq.gov/primer/adverse-events-near-misses-and-errors" TargetMode="External"/><Relationship Id="rId11" Type="http://schemas.openxmlformats.org/officeDocument/2006/relationships/hyperlink" Target="https://www.patientsafety.va.gov/docs/joe/HFMEA-Guidebook-January2021.pdf" TargetMode="External"/><Relationship Id="rId12" Type="http://schemas.openxmlformats.org/officeDocument/2006/relationships/hyperlink" Target="https://www.jointcommission.org/en/standards/international-patient-safety-goals" TargetMode="External"/><Relationship Id="rId13" Type="http://schemas.openxmlformats.org/officeDocument/2006/relationships/hyperlink" Target="https://main.mohfw.gov.in/sites/default/files/national%20patient%20safety%20implimentation_for%20web.pdf" TargetMode="External"/><Relationship Id="rId14" Type="http://schemas.openxmlformats.org/officeDocument/2006/relationships/hyperlink" Target="https://www.who.int/teams/integrated-health-services/patient-safety/research/patient-safety-solutions" TargetMode="External"/><Relationship Id="rId15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