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55555"/>
          <w:sz w:val="20"/>
        </w:rPr>
        <w:t>PSQ.3 — Infection prevention and control</w:t>
      </w:r>
    </w:p>
    <w:p>
      <w:r>
        <w:rPr>
          <w:b/>
          <w:sz w:val="30"/>
        </w:rPr>
        <w:t>PSQ.3 Record 7 — Infection prevention and control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What is this record, in plain terms?</w:t>
            </w:r>
          </w:p>
          <w:p>
            <w:r>
              <w:rPr>
                <w:sz w:val="20"/>
              </w:rPr>
              <w:t>This record is where you keep the proof for: “For each infection prevention and control indicator, a defined numerator, denominator and multiplier.” — the specific evidence element Infection prevention and control of this policy asks for. Every time this activity actually happens, whoever did it adds one new row below with: Indicator Name, Numerator, Denominator, Multiplier, Owner, Data Source, Frequency, Mandatory (Govt/State/NABH), Data Period, Result, Target/Benchmark, Trend (Up/Down/Stable). A worked example row is already filled in (shaded) below the header, so you can see exactly what a completed real entry looks like — don't leave that example row mixed in with real data once you start using this record.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A real example of when you'd use this</w:t>
            </w:r>
          </w:p>
          <w:p>
            <w:r>
              <w:rPr>
                <w:sz w:val="20"/>
              </w:rPr>
              <w:t>The IPC Officer and quality team use this record every reporting period to log an infection-control indicator's monitoring result. The worked example below shows a real entry: on Jan-2026, indicator name was “CAUTI rate per 1000 catheter-days”, numerator was “Number of CAUTI cases”, denominator was “Number of catheter-days” — so result was “1.4”.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NABH ask for this?</w:t>
            </w:r>
          </w:p>
          <w:p>
            <w:r>
              <w:rPr>
                <w:sz w:val="20"/>
              </w:rPr>
              <w:t>Infection rates that aren't measured with a standard definition can't be trusted or compared — this record proves infection-control indicators (like CAUTI, CLABSI, SSI or VAP where selected) are tracked using a consistent, standard surveillance definition, with a precise numerator, denominator and multiplier. Having one defined, consistently-applied source for these definitions is a CORE requirement — NABH treats it as non-negotiable, not aspirational. CDC NHSN is one widely-used source for these definitions; a published Government of India / ICMR / NCDC surveillance definition is an equally valid source — NABH does not mandate CDC NHSN specifically.</w:t>
            </w:r>
          </w:p>
        </w:tc>
      </w:tr>
    </w:tbl>
    <w:p/>
    <w:p>
      <w:r>
        <w:rPr>
          <w:b/>
          <w:sz w:val="22"/>
        </w:rPr>
        <w:t>How to fill this in — column by column</w:t>
      </w:r>
    </w:p>
    <w:p>
      <w:pPr>
        <w:pStyle w:val="ListParagraph"/>
      </w:pPr>
      <w:r>
        <w:rPr>
          <w:b/>
        </w:rPr>
        <w:t xml:space="preserve">Indicator Name: </w:t>
      </w:r>
      <w:r>
        <w:t>The exact indicator being tracked — name it precisely, don't write 'quality' generically.</w:t>
      </w:r>
    </w:p>
    <w:p>
      <w:pPr>
        <w:pStyle w:val="ListParagraph"/>
      </w:pPr>
      <w:r>
        <w:rPr>
          <w:b/>
        </w:rPr>
        <w:t xml:space="preserve">Numerator: </w:t>
      </w:r>
      <w:r>
        <w:t>What actually gets counted in the numerator — spell it out, not just the indicator name again.</w:t>
      </w:r>
    </w:p>
    <w:p>
      <w:pPr>
        <w:pStyle w:val="ListParagraph"/>
      </w:pPr>
      <w:r>
        <w:rPr>
          <w:b/>
        </w:rPr>
        <w:t xml:space="preserve">Denominator: </w:t>
      </w:r>
      <w:r>
        <w:t>What actually gets counted in the denominator.</w:t>
      </w:r>
    </w:p>
    <w:p>
      <w:pPr>
        <w:pStyle w:val="ListParagraph"/>
      </w:pPr>
      <w:r>
        <w:rPr>
          <w:b/>
        </w:rPr>
        <w:t xml:space="preserve">Multiplier: </w:t>
      </w:r>
      <w:r>
        <w:t>The multiplier applied (× 100, × 1000, or 'average' if it's a mean) — without this the rate can't be reproduced from raw counts.</w:t>
      </w:r>
    </w:p>
    <w:p>
      <w:pPr>
        <w:pStyle w:val="ListParagraph"/>
      </w:pPr>
      <w:r>
        <w:rPr>
          <w:b/>
        </w:rPr>
        <w:t xml:space="preserve">Owner: </w:t>
      </w:r>
      <w:r>
        <w:t>Who is accountable for this indicator being tracked and reported.</w:t>
      </w:r>
    </w:p>
    <w:p>
      <w:pPr>
        <w:pStyle w:val="ListParagraph"/>
      </w:pPr>
      <w:r>
        <w:rPr>
          <w:b/>
        </w:rPr>
        <w:t xml:space="preserve">Data Source: </w:t>
      </w:r>
      <w:r>
        <w:t>Where the raw data actually comes from — the real register or system, not 'records.'</w:t>
      </w:r>
    </w:p>
    <w:p>
      <w:pPr>
        <w:pStyle w:val="ListParagraph"/>
      </w:pPr>
      <w:r>
        <w:rPr>
          <w:b/>
        </w:rPr>
        <w:t xml:space="preserve">Frequency: </w:t>
      </w:r>
      <w:r>
        <w:t>How often this is actually measured and reported.</w:t>
      </w:r>
    </w:p>
    <w:p>
      <w:pPr>
        <w:pStyle w:val="ListParagraph"/>
      </w:pPr>
      <w:r>
        <w:rPr>
          <w:b/>
        </w:rPr>
        <w:t xml:space="preserve">Mandatory (Govt/State/NABH): </w:t>
      </w:r>
      <w:r>
        <w:t>Whether this is a Government/State/NABH-mandated indicator, or one the organisation chose itself.</w:t>
      </w:r>
    </w:p>
    <w:p>
      <w:pPr>
        <w:pStyle w:val="ListParagraph"/>
      </w:pPr>
      <w:r>
        <w:rPr>
          <w:b/>
        </w:rPr>
        <w:t xml:space="preserve">Data Period: </w:t>
      </w:r>
      <w:r>
        <w:t>The time period this data covers.</w:t>
      </w:r>
    </w:p>
    <w:p>
      <w:pPr>
        <w:pStyle w:val="ListParagraph"/>
      </w:pPr>
      <w:r>
        <w:rPr>
          <w:b/>
        </w:rPr>
        <w:t xml:space="preserve">Result: </w:t>
      </w:r>
      <w:r>
        <w:t>The actual number/rate for that period.</w:t>
      </w:r>
    </w:p>
    <w:p>
      <w:pPr>
        <w:pStyle w:val="ListParagraph"/>
      </w:pPr>
      <w:r>
        <w:rPr>
          <w:b/>
        </w:rPr>
        <w:t xml:space="preserve">Target/Benchmark: </w:t>
      </w:r>
      <w:r>
        <w:t>What target or benchmark this is being measured against.</w:t>
      </w:r>
    </w:p>
    <w:p>
      <w:pPr>
        <w:pStyle w:val="ListParagraph"/>
      </w:pPr>
      <w:r>
        <w:rPr>
          <w:b/>
        </w:rPr>
        <w:t xml:space="preserve">Trend (Up/Down/Stable): </w:t>
      </w:r>
      <w:r>
        <w:t>Whether it's improving, worsening, or holding steady compared to the last period.</w:t>
      </w:r>
    </w:p>
    <w:p>
      <w:r>
        <w:rPr>
          <w:b/>
          <w:sz w:val="18"/>
        </w:rP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807"/>
        <w:gridCol w:w="807"/>
        <w:gridCol w:w="807"/>
        <w:gridCol w:w="807"/>
        <w:gridCol w:w="807"/>
        <w:gridCol w:w="807"/>
        <w:gridCol w:w="807"/>
        <w:gridCol w:w="807"/>
        <w:gridCol w:w="807"/>
        <w:gridCol w:w="807"/>
        <w:gridCol w:w="807"/>
        <w:gridCol w:w="807"/>
      </w:tblGrid>
      <w:tr>
        <w:tc>
          <w:tcPr>
            <w:tcW w:type="dxa" w:w="807"/>
            <w:shd w:val="clear" w:fill="D9E2F3"/>
          </w:tcPr>
          <w:p>
            <w:r/>
            <w:r>
              <w:rPr>
                <w:b/>
                <w:sz w:val="20"/>
              </w:rPr>
              <w:t>Indicator Name</w:t>
            </w:r>
          </w:p>
        </w:tc>
        <w:tc>
          <w:tcPr>
            <w:tcW w:type="dxa" w:w="807"/>
            <w:shd w:val="clear" w:fill="D9E2F3"/>
          </w:tcPr>
          <w:p>
            <w:r/>
            <w:r>
              <w:rPr>
                <w:b/>
                <w:sz w:val="20"/>
              </w:rPr>
              <w:t>Numerator</w:t>
            </w:r>
          </w:p>
        </w:tc>
        <w:tc>
          <w:tcPr>
            <w:tcW w:type="dxa" w:w="807"/>
            <w:shd w:val="clear" w:fill="D9E2F3"/>
          </w:tcPr>
          <w:p>
            <w:r/>
            <w:r>
              <w:rPr>
                <w:b/>
                <w:sz w:val="20"/>
              </w:rPr>
              <w:t>Denominator</w:t>
            </w:r>
          </w:p>
        </w:tc>
        <w:tc>
          <w:tcPr>
            <w:tcW w:type="dxa" w:w="807"/>
            <w:shd w:val="clear" w:fill="D9E2F3"/>
          </w:tcPr>
          <w:p>
            <w:r/>
            <w:r>
              <w:rPr>
                <w:b/>
                <w:sz w:val="20"/>
              </w:rPr>
              <w:t>Multiplier</w:t>
            </w:r>
          </w:p>
        </w:tc>
        <w:tc>
          <w:tcPr>
            <w:tcW w:type="dxa" w:w="807"/>
            <w:shd w:val="clear" w:fill="D9E2F3"/>
          </w:tcPr>
          <w:p>
            <w:r/>
            <w:r>
              <w:rPr>
                <w:b/>
                <w:sz w:val="20"/>
              </w:rPr>
              <w:t>Owner</w:t>
            </w:r>
          </w:p>
        </w:tc>
        <w:tc>
          <w:tcPr>
            <w:tcW w:type="dxa" w:w="807"/>
            <w:shd w:val="clear" w:fill="D9E2F3"/>
          </w:tcPr>
          <w:p>
            <w:r/>
            <w:r>
              <w:rPr>
                <w:b/>
                <w:sz w:val="20"/>
              </w:rPr>
              <w:t>Data Source</w:t>
            </w:r>
          </w:p>
        </w:tc>
        <w:tc>
          <w:tcPr>
            <w:tcW w:type="dxa" w:w="807"/>
            <w:shd w:val="clear" w:fill="D9E2F3"/>
          </w:tcPr>
          <w:p>
            <w:r/>
            <w:r>
              <w:rPr>
                <w:b/>
                <w:sz w:val="20"/>
              </w:rPr>
              <w:t>Frequency</w:t>
            </w:r>
          </w:p>
        </w:tc>
        <w:tc>
          <w:tcPr>
            <w:tcW w:type="dxa" w:w="807"/>
            <w:shd w:val="clear" w:fill="D9E2F3"/>
          </w:tcPr>
          <w:p>
            <w:r/>
            <w:r>
              <w:rPr>
                <w:b/>
                <w:sz w:val="20"/>
              </w:rPr>
              <w:t>Mandatory (Govt/State/NABH)</w:t>
            </w:r>
          </w:p>
        </w:tc>
        <w:tc>
          <w:tcPr>
            <w:tcW w:type="dxa" w:w="807"/>
            <w:shd w:val="clear" w:fill="D9E2F3"/>
          </w:tcPr>
          <w:p>
            <w:r/>
            <w:r>
              <w:rPr>
                <w:b/>
                <w:sz w:val="20"/>
              </w:rPr>
              <w:t>Data Period</w:t>
            </w:r>
          </w:p>
        </w:tc>
        <w:tc>
          <w:tcPr>
            <w:tcW w:type="dxa" w:w="807"/>
            <w:shd w:val="clear" w:fill="D9E2F3"/>
          </w:tcPr>
          <w:p>
            <w:r/>
            <w:r>
              <w:rPr>
                <w:b/>
                <w:sz w:val="20"/>
              </w:rPr>
              <w:t>Result</w:t>
            </w:r>
          </w:p>
        </w:tc>
        <w:tc>
          <w:tcPr>
            <w:tcW w:type="dxa" w:w="807"/>
            <w:shd w:val="clear" w:fill="D9E2F3"/>
          </w:tcPr>
          <w:p>
            <w:r/>
            <w:r>
              <w:rPr>
                <w:b/>
                <w:sz w:val="20"/>
              </w:rPr>
              <w:t>Target/Benchmark</w:t>
            </w:r>
          </w:p>
        </w:tc>
        <w:tc>
          <w:tcPr>
            <w:tcW w:type="dxa" w:w="807"/>
            <w:shd w:val="clear" w:fill="D9E2F3"/>
          </w:tcPr>
          <w:p>
            <w:r/>
            <w:r>
              <w:rPr>
                <w:b/>
                <w:sz w:val="20"/>
              </w:rPr>
              <w:t>Trend (Up/Down/Stable)</w:t>
            </w:r>
          </w:p>
        </w:tc>
      </w:tr>
      <w:tr>
        <w:tc>
          <w:tcPr>
            <w:tcW w:type="dxa" w:w="9684"/>
            <w:gridSpan w:val="12"/>
            <w:shd w:val="clear" w:fill="FFF2CC"/>
          </w:tcPr>
          <w:p>
            <w:r/>
            <w:r>
              <w:rPr>
                <w:b/>
                <w:sz w:val="18"/>
              </w:rPr>
              <w:t>WORKED EXAMPLE — TRAINING ONLY — NOT AN ACTUAL HOSPITAL RECORD</w:t>
            </w:r>
          </w:p>
        </w:tc>
      </w:tr>
      <w:tr>
        <w:tc>
          <w:tcPr>
            <w:tcW w:type="dxa" w:w="807"/>
            <w:shd w:val="clear" w:fill="FFF2CC"/>
          </w:tcPr>
          <w:p>
            <w:r/>
            <w:r>
              <w:rPr>
                <w:b w:val="0"/>
                <w:sz w:val="20"/>
              </w:rPr>
              <w:t>CAUTI rate per 1000 catheter-days</w:t>
            </w:r>
          </w:p>
        </w:tc>
        <w:tc>
          <w:tcPr>
            <w:tcW w:type="dxa" w:w="807"/>
            <w:shd w:val="clear" w:fill="FFF2CC"/>
          </w:tcPr>
          <w:p>
            <w:r/>
            <w:r>
              <w:rPr>
                <w:b w:val="0"/>
                <w:sz w:val="20"/>
              </w:rPr>
              <w:t>Number of CAUTI cases</w:t>
            </w:r>
          </w:p>
        </w:tc>
        <w:tc>
          <w:tcPr>
            <w:tcW w:type="dxa" w:w="807"/>
            <w:shd w:val="clear" w:fill="FFF2CC"/>
          </w:tcPr>
          <w:p>
            <w:r/>
            <w:r>
              <w:rPr>
                <w:b w:val="0"/>
                <w:sz w:val="20"/>
              </w:rPr>
              <w:t>Number of catheter-days</w:t>
            </w:r>
          </w:p>
        </w:tc>
        <w:tc>
          <w:tcPr>
            <w:tcW w:type="dxa" w:w="807"/>
            <w:shd w:val="clear" w:fill="FFF2CC"/>
          </w:tcPr>
          <w:p>
            <w:r/>
            <w:r>
              <w:rPr>
                <w:b w:val="0"/>
                <w:sz w:val="20"/>
              </w:rPr>
              <w:t>× 1000</w:t>
            </w:r>
          </w:p>
        </w:tc>
        <w:tc>
          <w:tcPr>
            <w:tcW w:type="dxa" w:w="807"/>
            <w:shd w:val="clear" w:fill="FFF2CC"/>
          </w:tcPr>
          <w:p>
            <w:r/>
            <w:r>
              <w:rPr>
                <w:b w:val="0"/>
                <w:sz w:val="20"/>
              </w:rPr>
              <w:t>Infection Control Nurse</w:t>
            </w:r>
          </w:p>
        </w:tc>
        <w:tc>
          <w:tcPr>
            <w:tcW w:type="dxa" w:w="807"/>
            <w:shd w:val="clear" w:fill="FFF2CC"/>
          </w:tcPr>
          <w:p>
            <w:r/>
            <w:r>
              <w:rPr>
                <w:b w:val="0"/>
                <w:sz w:val="20"/>
              </w:rPr>
              <w:t>IPC surveillance register</w:t>
            </w:r>
          </w:p>
        </w:tc>
        <w:tc>
          <w:tcPr>
            <w:tcW w:type="dxa" w:w="807"/>
            <w:shd w:val="clear" w:fill="FFF2CC"/>
          </w:tcPr>
          <w:p>
            <w:r/>
            <w:r>
              <w:rPr>
                <w:b w:val="0"/>
                <w:sz w:val="20"/>
              </w:rPr>
              <w:t>Monthly</w:t>
            </w:r>
          </w:p>
        </w:tc>
        <w:tc>
          <w:tcPr>
            <w:tcW w:type="dxa" w:w="807"/>
            <w:shd w:val="clear" w:fill="FFF2CC"/>
          </w:tcPr>
          <w:p>
            <w:r/>
            <w:r>
              <w:rPr>
                <w:b w:val="0"/>
                <w:sz w:val="20"/>
              </w:rPr>
              <w:t>Y — NABH-mandated</w:t>
            </w:r>
          </w:p>
        </w:tc>
        <w:tc>
          <w:tcPr>
            <w:tcW w:type="dxa" w:w="807"/>
            <w:shd w:val="clear" w:fill="FFF2CC"/>
          </w:tcPr>
          <w:p>
            <w:r/>
            <w:r>
              <w:rPr>
                <w:b w:val="0"/>
                <w:sz w:val="20"/>
              </w:rPr>
              <w:t>Jan-2026</w:t>
            </w:r>
          </w:p>
        </w:tc>
        <w:tc>
          <w:tcPr>
            <w:tcW w:type="dxa" w:w="807"/>
            <w:shd w:val="clear" w:fill="FFF2CC"/>
          </w:tcPr>
          <w:p>
            <w:r/>
            <w:r>
              <w:rPr>
                <w:b w:val="0"/>
                <w:sz w:val="20"/>
              </w:rPr>
              <w:t>1.4</w:t>
            </w:r>
          </w:p>
        </w:tc>
        <w:tc>
          <w:tcPr>
            <w:tcW w:type="dxa" w:w="807"/>
            <w:shd w:val="clear" w:fill="FFF2CC"/>
          </w:tcPr>
          <w:p>
            <w:r/>
            <w:r>
              <w:rPr>
                <w:b w:val="0"/>
                <w:sz w:val="20"/>
              </w:rPr>
              <w:t>&lt;2.0 per 1000 catheter-days</w:t>
            </w:r>
          </w:p>
        </w:tc>
        <w:tc>
          <w:tcPr>
            <w:tcW w:type="dxa" w:w="807"/>
            <w:shd w:val="clear" w:fill="FFF2CC"/>
          </w:tcPr>
          <w:p>
            <w:r/>
            <w:r>
              <w:rPr>
                <w:b w:val="0"/>
                <w:sz w:val="20"/>
              </w:rPr>
              <w:t>Improving vs. last quarter</w:t>
            </w:r>
          </w:p>
        </w:tc>
      </w:tr>
      <w:tr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</w:tr>
    </w:tbl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