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Infection prevention and control</w:t>
      </w:r>
    </w:p>
    <w:p>
      <w:r>
        <w:rPr>
          <w:b/>
          <w:sz w:val="30"/>
        </w:rPr>
        <w:t>PSQ.3 Record 9 — Infection prevention and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“CAUTI, CLABSI, SSI or VAP monitoring where the organisation has selected these as indicators.” — the specific evidence element Infection prevention and control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and quality team use this record every reporting period to log an infection-control indicator's monitoring result. The worked example below shows a real entry: on Jan-2026, indicator name was “CAUTI rate per 1000 catheter-days”, numerator was “Number of CAUTI cases”, denominator was “Number of catheter-days” — so result was “1.4”.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rates that aren't measured with a standard definition can't be trusted or compared — this record proves infection-control indicators (like CAUTI, CLABSI, SSI or VAP where selected) are tracked using a consistent, standard surveillance definition, with a precise numerator, denominator and multiplier. Having one defined, consistently-applied source for these definitions is a CORE requirement — NABH treats it as non-negotiable, not aspirational. CDC NHSN is one widely-used source for these definitions; a published Government of India / ICMR / NCDC surveillance definition is an equally valid source — NABH does not mandate CDC NHSN specifically.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CAUTI rate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CAUTI cases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Infection Control Nurse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IPC surveillance register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