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Standard Operating Procedure</w:t>
      </w:r>
    </w:p>
    <w:p>
      <w:r>
        <w:rPr>
          <w:b/>
          <w:sz w:val="26"/>
        </w:rPr>
        <w:t>Quality Indicators, Data Analysis and Improvement</w:t>
      </w:r>
    </w:p>
    <w:p>
      <w:r>
        <w:t>«Hospital Name» — Supports PSQ.3</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this SOP exist? (read this first if you're new)</w:t>
            </w:r>
          </w:p>
          <w:p>
            <w:r>
              <w:rPr>
                <w:sz w:val="20"/>
              </w:rPr>
              <w:t>The purpose of this policy is to establish the process for identifying and monitoring quality indicators, verifying and analysing data, implementing improvements and communicating feedback about care and service. This policy does not cover matters outside this quality-indicator and improvement process. If you're new to patient safety and quality work, the short version is: this SOP tells you exactly what to do, in what order, and which record proves you did it.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SOP No.</w:t>
            </w:r>
          </w:p>
        </w:tc>
        <w:tc>
          <w:tcPr>
            <w:tcW w:type="dxa" w:w="2420"/>
          </w:tcPr>
          <w:p>
            <w:r/>
            <w:r>
              <w:rPr>
                <w:b w:val="0"/>
                <w:sz w:val="20"/>
              </w:rPr>
              <w:t>[Hospital to define]</w:t>
            </w:r>
          </w:p>
        </w:tc>
        <w:tc>
          <w:tcPr>
            <w:tcW w:type="dxa" w:w="2420"/>
            <w:shd w:val="clear" w:fill="D9E2F3"/>
          </w:tcPr>
          <w:p>
            <w:r/>
            <w:r>
              <w:rPr>
                <w:b/>
                <w:sz w:val="20"/>
              </w:rPr>
              <w:t>Version</w:t>
            </w:r>
          </w:p>
        </w:tc>
        <w:tc>
          <w:tcPr>
            <w:tcW w:type="dxa" w:w="2420"/>
          </w:tcPr>
          <w:p>
            <w:r/>
            <w:r>
              <w:rPr>
                <w:b w:val="0"/>
                <w:sz w:val="20"/>
              </w:rPr>
              <w:t>1.0</w:t>
            </w:r>
          </w:p>
        </w:tc>
      </w:tr>
      <w:tr>
        <w:tc>
          <w:tcPr>
            <w:tcW w:type="dxa" w:w="2420"/>
            <w:shd w:val="clear" w:fill="D9E2F3"/>
          </w:tcPr>
          <w:p>
            <w:r/>
            <w:r>
              <w:rPr>
                <w:b/>
                <w:sz w:val="20"/>
              </w:rPr>
              <w:t>Effective Date</w:t>
            </w:r>
          </w:p>
        </w:tc>
        <w:tc>
          <w:tcPr>
            <w:tcW w:type="dxa" w:w="2420"/>
          </w:tcPr>
          <w:p>
            <w:r/>
            <w:r>
              <w:rPr>
                <w:b w:val="0"/>
                <w:sz w:val="20"/>
              </w:rPr>
              <w:t>________</w:t>
            </w:r>
          </w:p>
        </w:tc>
        <w:tc>
          <w:tcPr>
            <w:tcW w:type="dxa" w:w="2420"/>
            <w:shd w:val="clear" w:fill="D9E2F3"/>
          </w:tcPr>
          <w:p>
            <w:r/>
            <w:r>
              <w:rPr>
                <w:b/>
                <w:sz w:val="20"/>
              </w:rPr>
              <w:t>Review Frequency</w:t>
            </w:r>
          </w:p>
        </w:tc>
        <w:tc>
          <w:tcPr>
            <w:tcW w:type="dxa" w:w="2420"/>
          </w:tcPr>
          <w:p>
            <w:r/>
            <w:r>
              <w:rPr>
                <w:b w:val="0"/>
                <w:sz w:val="20"/>
              </w:rPr>
              <w:t>Annual, or on change</w:t>
            </w:r>
          </w:p>
        </w:tc>
      </w:tr>
      <w:tr>
        <w:tc>
          <w:tcPr>
            <w:tcW w:type="dxa" w:w="2420"/>
            <w:shd w:val="clear" w:fill="D9E2F3"/>
          </w:tcPr>
          <w:p>
            <w:r/>
            <w:r>
              <w:rPr>
                <w:b/>
                <w:sz w:val="20"/>
              </w:rPr>
              <w:t>Prepared By</w:t>
            </w:r>
          </w:p>
        </w:tc>
        <w:tc>
          <w:tcPr>
            <w:tcW w:type="dxa" w:w="7260"/>
            <w:gridSpan w:val="3"/>
          </w:tcPr>
          <w:p>
            <w:r/>
            <w:r>
              <w:rPr>
                <w:b w:val="0"/>
                <w:sz w:val="20"/>
              </w:rPr>
              <w:t>Quality Coordinator   Name: ________   Signature: ________</w:t>
            </w:r>
          </w:p>
        </w:tc>
      </w:tr>
      <w:tr>
        <w:tc>
          <w:tcPr>
            <w:tcW w:type="dxa" w:w="2420"/>
            <w:shd w:val="clear" w:fill="D9E2F3"/>
          </w:tcPr>
          <w:p>
            <w:r/>
            <w:r>
              <w:rPr>
                <w:b/>
                <w:sz w:val="20"/>
              </w:rPr>
              <w:t>Approved By</w:t>
            </w:r>
          </w:p>
        </w:tc>
        <w:tc>
          <w:tcPr>
            <w:tcW w:type="dxa" w:w="7260"/>
            <w:gridSpan w:val="3"/>
          </w:tcPr>
          <w:p>
            <w:r/>
            <w:r>
              <w:rPr>
                <w:b w:val="0"/>
                <w:sz w:val="20"/>
              </w:rPr>
              <w:t>Medical Superintendent   Name: ________   Signature: ________</w:t>
            </w:r>
          </w:p>
        </w:tc>
      </w:tr>
    </w:tbl>
    <w:p>
      <w:pPr>
        <w:pStyle w:val="Heading1"/>
      </w:pPr>
      <w:r>
        <w:t>1. Purpose</w:t>
      </w:r>
    </w:p>
    <w:p>
      <w:r>
        <w:t>The purpose of this policy is to establish the process for identifying and monitoring quality indicators, verifying and analysing data, implementing improvements and communicating feedback about care and service. This policy does not cover matters outside this quality-indicator and improvement process.</w:t>
      </w:r>
    </w:p>
    <w:p>
      <w:pPr>
        <w:pStyle w:val="Heading1"/>
      </w:pPr>
      <w:r>
        <w:t>2. Scope</w:t>
      </w:r>
    </w:p>
    <w:p>
      <w:r>
        <w:t>This policy applies to the identification, monitoring, verification, analysis and use of quality indicators at «Hospital Name». It covers clinical, managerial, infection prevention and control, and patient safety indicators, together with data verification, improvement activities and communication of feedback about care and service.</w:t>
      </w:r>
    </w:p>
    <w:p>
      <w:pPr>
        <w:pStyle w:val="Heading1"/>
      </w:pPr>
      <w:r>
        <w:t>3. Responsibility</w:t>
      </w:r>
    </w:p>
    <w:p>
      <w:r>
        <w:t xml:space="preserve">Quality Coordinator: </w:t>
      </w:r>
      <w:r>
        <w:t>leads day-to-day work on this policy and owns the required records.</w:t>
      </w:r>
    </w:p>
    <w:p>
      <w:r>
        <w:t xml:space="preserve">Safety/Quality Committee: </w:t>
      </w:r>
      <w:r>
        <w:t>reviews progress on this policy at least monthly and signs off the annual review.</w:t>
      </w:r>
    </w:p>
    <w:p>
      <w:r>
        <w:t xml:space="preserve">Department Heads: </w:t>
      </w:r>
      <w:r>
        <w:t>carry out the parts of this policy that apply within their own department.</w:t>
      </w:r>
    </w:p>
    <w:p>
      <w:r>
        <w:t xml:space="preserve">Medical Superintendent / Governing Body: </w:t>
      </w:r>
      <w:r>
        <w:t>provides resources and reviews outcomes reported to them.</w:t>
      </w:r>
    </w:p>
    <w:p>
      <w:r>
        <w:t xml:space="preserve">All staff in scope: </w:t>
      </w:r>
      <w:r>
        <w:t>follow the steps below and raise any Stop-Work concern immediately, without waiting for permission.</w:t>
      </w:r>
    </w:p>
    <w:p>
      <w:pPr>
        <w:pStyle w:val="Heading1"/>
      </w:pPr>
      <w:r>
        <w:t>4. Plain-Language Glossary</w:t>
      </w:r>
    </w:p>
    <w:p>
      <w:r>
        <w:t>If a word below is unfamiliar, this is what it means in this SOP:</w:t>
      </w:r>
    </w:p>
    <w:p>
      <w:pPr>
        <w:pStyle w:val="ListParagraph"/>
      </w:pPr>
      <w:r>
        <w:rPr>
          <w:b/>
        </w:rPr>
        <w:t xml:space="preserve">PDSA: </w:t>
      </w:r>
      <w:r>
        <w:t>Plan-Do-Study-Act — a simple cycle for testing a change before rolling it out everywhere.</w:t>
      </w:r>
    </w:p>
    <w:p>
      <w:pPr>
        <w:pStyle w:val="ListParagraph"/>
      </w:pPr>
      <w:r>
        <w:rPr>
          <w:b/>
        </w:rPr>
        <w:t xml:space="preserve">Control Chart: </w:t>
      </w:r>
      <w:r>
        <w:t>A running line-graph of an indicator over time with upper and lower control limits marked, used to tell a real, meaningful change from ordinary day-to-day variation.</w:t>
      </w:r>
    </w:p>
    <w:p>
      <w:pPr>
        <w:pStyle w:val="ListParagraph"/>
      </w:pPr>
      <w:r>
        <w:rPr>
          <w:b/>
        </w:rPr>
        <w:t xml:space="preserve">Donabedian Model: </w:t>
      </w:r>
      <w:r>
        <w:t>A framework for picking quality indicators across three types: structure (staffing, equipment), process (whether the right steps were followed), and outcome (what actually happened to the patient).</w:t>
      </w:r>
    </w:p>
    <w:p>
      <w:pPr>
        <w:pStyle w:val="ListParagraph"/>
      </w:pPr>
      <w:r>
        <w:rPr>
          <w:b/>
        </w:rPr>
        <w:t xml:space="preserve">DMAIC: </w:t>
      </w:r>
      <w:r>
        <w:t>Define–Measure–Analyze–Improve–Control — a structured Six Sigma method for fixing a bigger, data-heavy process problem, more rigorous than a single PDSA cycle.</w:t>
      </w:r>
    </w:p>
    <w:p>
      <w:pPr>
        <w:pStyle w:val="ListParagraph"/>
      </w:pPr>
      <w:r>
        <w:rPr>
          <w:b/>
        </w:rPr>
        <w:t xml:space="preserve">5 Whys: </w:t>
      </w:r>
      <w:r>
        <w:t>A simple root-cause technique: ask 'why did that happen' about the answer you just got, five times in a row, until you reach the real underlying cause instead of stopping at the first obvious one.</w:t>
      </w:r>
    </w:p>
    <w:p>
      <w:pPr>
        <w:pStyle w:val="ListParagraph"/>
      </w:pPr>
      <w:r>
        <w:rPr>
          <w:b/>
        </w:rPr>
        <w:t xml:space="preserve">Fishbone (Ishikawa) Diagram: </w:t>
      </w:r>
      <w:r>
        <w:t>A diagram shaped like a fish skeleton used in root-cause analysis to sort possible causes into categories (people, process, equipment, environment, policy, communication) so none get missed.</w:t>
      </w:r>
    </w:p>
    <w:p>
      <w:pPr>
        <w:pStyle w:val="Heading1"/>
      </w:pPr>
      <w:r>
        <w:t>5. Procedure</w:t>
      </w:r>
    </w:p>
    <w:p>
      <w:pPr>
        <w:pStyle w:val="Heading2"/>
      </w:pPr>
      <w:r>
        <w:t>5.1 Identify and monitor clinical indicators</w:t>
      </w:r>
    </w:p>
    <w:p>
      <w:r>
        <w:rPr>
          <w:b/>
          <w:i/>
        </w:rPr>
        <w:t>Why this step matters: Picking only outcome indicators tells you what happened but not why — you need structure and process measures too, or there's nothing to actually act on.</w:t>
      </w:r>
      <w:r>
        <w:rPr>
          <w:i/>
        </w:rPr>
      </w:r>
    </w:p>
    <w:p>
      <w:r>
        <w:t>1. Select clinical indicators across Donabedian's structure/process/outcome domains for each major clinical pathway, not outcome indicators alone.</w:t>
      </w:r>
    </w:p>
    <w:p>
      <w:r>
        <w:t>2. Define numerator, denominator and data source precisely before collecting, and plot each indicator on a control chart over time.</w:t>
      </w:r>
    </w:p>
    <w:p>
      <w:r>
        <w:rPr>
          <w:b/>
          <w:i/>
          <w:sz w:val="18"/>
        </w:rPr>
        <w:t xml:space="preserve">Technical source(s) for these steps: </w:t>
      </w:r>
    </w:p>
    <w:p>
      <w:pPr>
        <w:pStyle w:val="ListParagraph"/>
      </w:pPr>
      <w:hyperlink r:id="rId9">
        <w:r>
          <w:rPr>
            <w:color w:val="0563C1"/>
            <w:u w:val="single"/>
          </w:rPr>
          <w:t>CASRAI. (n.d.). Donabedian model: Structure, process, outcome.</w:t>
        </w:r>
      </w:hyperlink>
    </w:p>
    <w:p>
      <w:pPr>
        <w:pStyle w:val="Heading2"/>
      </w:pPr>
      <w:r>
        <w:t>5.2 Identify and monitor infection prevention and control indicators</w:t>
      </w:r>
    </w:p>
    <w:p>
      <w:r>
        <w:rPr>
          <w:b/>
          <w:i/>
        </w:rPr>
        <w:t>Why this step matters: This is where IPC's own hard-won infection data earns its keep — feeding it into the same quality system means infection trends get the same improvement attention as everything else, not left as someone else's problem.</w:t>
      </w:r>
      <w:r>
        <w:rPr>
          <w:i/>
        </w:rPr>
      </w:r>
    </w:p>
    <w:p>
      <w:r>
        <w:t>1. Track the IPC indicators already required under the IPC chapter — hand-hygiene compliance, MDRO rates, CAUTI/VAP/CLABSI/SSI rates — as this chapter's own quality-indicator feed rather than duplicating a second, separate set.</w:t>
      </w:r>
    </w:p>
    <w:p>
      <w:r>
        <w:rPr>
          <w:b/>
          <w:i/>
          <w:sz w:val="18"/>
        </w:rPr>
        <w:t xml:space="preserve">Technical source(s) for these steps: </w:t>
      </w:r>
    </w:p>
    <w:p>
      <w:pPr>
        <w:pStyle w:val="ListParagraph"/>
      </w:pPr>
      <w:hyperlink r:id="rId10">
        <w:r>
          <w:rPr>
            <w:color w:val="0563C1"/>
            <w:u w:val="single"/>
          </w:rPr>
          <w:t>World Health Organization. (2018). Infection prevention and control assessment framework at the facility level (IPCAF).</w:t>
        </w:r>
      </w:hyperlink>
    </w:p>
    <w:p>
      <w:pPr>
        <w:pStyle w:val="Heading2"/>
      </w:pPr>
      <w:r>
        <w:t>5.3 Identify and monitor managerial indicators</w:t>
      </w:r>
    </w:p>
    <w:p>
      <w:r>
        <w:rPr>
          <w:b/>
          <w:i/>
        </w:rPr>
        <w:t>Why this step matters: A hospital can be clinically excellent and still fail patients through operational problems — bed delays, equipment downtime — if no one tracks those with the same rigour as clinical indicators.</w:t>
      </w:r>
      <w:r>
        <w:rPr>
          <w:i/>
        </w:rPr>
      </w:r>
    </w:p>
    <w:p>
      <w:r>
        <w:t>1. Select managerial/operational indicators (e.g. bed turnaround time, equipment downtime, complaint resolution time) with the same rigour as clinical indicators — defined numerator/denominator, tracked on a control chart.</w:t>
      </w:r>
    </w:p>
    <w:p>
      <w:r>
        <w:rPr>
          <w:b/>
          <w:i/>
          <w:sz w:val="18"/>
        </w:rPr>
        <w:t xml:space="preserve">Technical source(s) for these steps: </w:t>
      </w:r>
    </w:p>
    <w:p>
      <w:pPr>
        <w:pStyle w:val="ListParagraph"/>
      </w:pPr>
      <w:hyperlink r:id="rId9">
        <w:r>
          <w:rPr>
            <w:color w:val="0563C1"/>
            <w:u w:val="single"/>
          </w:rPr>
          <w:t>CASRAI. (n.d.). Donabedian model: Structure, process, outcome.</w:t>
        </w:r>
      </w:hyperlink>
    </w:p>
    <w:p>
      <w:pPr>
        <w:pStyle w:val="Heading2"/>
      </w:pPr>
      <w:r>
        <w:t>5.4 Identify and monitor patient safety indicators</w:t>
      </w:r>
    </w:p>
    <w:p>
      <w:r>
        <w:rPr>
          <w:b/>
          <w:i/>
        </w:rPr>
        <w:t>Why this step matters: Burying falls and medication errors inside one generic 'quality' number hides exactly the signal leadership most needs to see.</w:t>
      </w:r>
      <w:r>
        <w:rPr>
          <w:i/>
        </w:rPr>
      </w:r>
    </w:p>
    <w:p>
      <w:r>
        <w:t>1. Track patient-safety-specific indicators (falls, medication errors, incident/near-miss rates) alongside the clinical and managerial sets, feeding the same control-chart monitoring process.</w:t>
      </w:r>
    </w:p>
    <w:p>
      <w:r>
        <w:rPr>
          <w:b/>
          <w:i/>
          <w:sz w:val="18"/>
        </w:rPr>
        <w:t xml:space="preserve">Technical source(s) for these steps: </w:t>
      </w:r>
    </w:p>
    <w:p>
      <w:pPr>
        <w:pStyle w:val="ListParagraph"/>
      </w:pPr>
      <w:hyperlink r:id="rId11">
        <w:r>
          <w:rPr>
            <w:color w:val="0563C1"/>
            <w:u w:val="single"/>
          </w:rPr>
          <w:t>Agency for Healthcare Research and Quality, Patient Safety Network. (n.d.). Adverse events, near misses, and errors.</w:t>
        </w:r>
      </w:hyperlink>
    </w:p>
    <w:p>
      <w:pPr>
        <w:pStyle w:val="Heading2"/>
      </w:pPr>
      <w:r>
        <w:t>5.5 Verify collected data</w:t>
      </w:r>
    </w:p>
    <w:p>
      <w:r>
        <w:rPr>
          <w:b/>
          <w:i/>
        </w:rPr>
        <w:t>Why this step matters: An indicator built on unchecked data can show an improvement that never actually happened — verification is what makes the whole indicator system trustworthy.</w:t>
      </w:r>
      <w:r>
        <w:rPr>
          <w:i/>
        </w:rPr>
      </w:r>
    </w:p>
    <w:p>
      <w:r>
        <w:t>1. Have someone other than the original collector re-check a sample of each indicator's data against source records on a fixed schedule, and log whether a discrepancy was found.</w:t>
      </w:r>
    </w:p>
    <w:p>
      <w:r>
        <w:rPr>
          <w:b/>
          <w:i/>
          <w:sz w:val="18"/>
        </w:rPr>
        <w:t xml:space="preserve">Technical source(s) for these steps: </w:t>
      </w:r>
    </w:p>
    <w:p>
      <w:pPr>
        <w:pStyle w:val="ListParagraph"/>
      </w:pPr>
      <w:hyperlink r:id="rId9">
        <w:r>
          <w:rPr>
            <w:color w:val="0563C1"/>
            <w:u w:val="single"/>
          </w:rPr>
          <w:t>CASRAI. (n.d.). Donabedian model: Structure, process, outcome.</w:t>
        </w:r>
      </w:hyperlink>
    </w:p>
    <w:p>
      <w:pPr>
        <w:pStyle w:val="Heading2"/>
      </w:pPr>
      <w:r>
        <w:t>5.6 Analyse data and identify improvement opportunities</w:t>
      </w:r>
    </w:p>
    <w:p>
      <w:r>
        <w:rPr>
          <w:b/>
          <w:i/>
        </w:rPr>
        <w:t>Why this step matters: Reacting to every random blip in a control chart wastes effort chasing noise instead of the real signal that actually needs fixing.</w:t>
      </w:r>
      <w:r>
        <w:rPr>
          <w:i/>
        </w:rPr>
      </w:r>
    </w:p>
    <w:p>
      <w:r>
        <w:t>1. Apply SPC signal rules to every control chart — a point outside the control limits, 8+ consecutive points on one side of the mean, or a 6+ point trend — to separate a real signal from ordinary variation before acting.</w:t>
      </w:r>
    </w:p>
    <w:p>
      <w:r>
        <w:t>2. When a signal appears, investigate for the special cause using a structured method (5 Whys or fishbone) before deciding on an improvement project.</w:t>
      </w:r>
    </w:p>
    <w:p>
      <w:r>
        <w:rPr>
          <w:b/>
          <w:i/>
          <w:sz w:val="18"/>
        </w:rPr>
        <w:t xml:space="preserve">Technical source(s) for these steps: </w:t>
      </w:r>
    </w:p>
    <w:p>
      <w:pPr>
        <w:pStyle w:val="ListParagraph"/>
      </w:pPr>
      <w:hyperlink r:id="rId9">
        <w:r>
          <w:rPr>
            <w:color w:val="0563C1"/>
            <w:u w:val="single"/>
          </w:rPr>
          <w:t>CASRAI. (n.d.). Donabedian model: Structure, process, outcome.</w:t>
        </w:r>
      </w:hyperlink>
    </w:p>
    <w:p>
      <w:pPr>
        <w:pStyle w:val="Heading2"/>
      </w:pPr>
      <w:r>
        <w:t>5.7 Implement and evaluate improvements</w:t>
      </w:r>
    </w:p>
    <w:p>
      <w:r>
        <w:rPr>
          <w:b/>
          <w:i/>
        </w:rPr>
        <w:t>Why this step matters: A project declared 'complete' without re-checking the indicator afterward might have changed nothing at all.</w:t>
      </w:r>
      <w:r>
        <w:rPr>
          <w:i/>
        </w:rPr>
      </w:r>
    </w:p>
    <w:p>
      <w:r>
        <w:t>1. Run the improvement as a PDSA cycle (small-scale test, compare to prediction, adopt/adapt/abandon) or a DMAIC project for a larger, data-heavy problem.</w:t>
      </w:r>
    </w:p>
    <w:p>
      <w:r>
        <w:t>2. Re-check the indicator's control chart after implementation to confirm the change actually shifted performance, not just that the project was “completed.”</w:t>
      </w:r>
    </w:p>
    <w:p>
      <w:r>
        <w:rPr>
          <w:b/>
          <w:i/>
          <w:sz w:val="18"/>
        </w:rPr>
        <w:t xml:space="preserve">Technical source(s) for these steps: </w:t>
      </w:r>
    </w:p>
    <w:p>
      <w:pPr>
        <w:pStyle w:val="ListParagraph"/>
      </w:pPr>
      <w:hyperlink r:id="rId12">
        <w:r>
          <w:rPr>
            <w:color w:val="0563C1"/>
            <w:u w:val="single"/>
          </w:rPr>
          <w:t>Institute for Healthcare Improvement, as summarized by Minnesota Department of Health. (n.d.). Plan-Do-Study-Act (PDSA).</w:t>
        </w:r>
      </w:hyperlink>
    </w:p>
    <w:p>
      <w:pPr>
        <w:pStyle w:val="Heading2"/>
      </w:pPr>
      <w:r>
        <w:t>5.8 Communicate feedback</w:t>
      </w:r>
    </w:p>
    <w:p>
      <w:r>
        <w:rPr>
          <w:b/>
          <w:i/>
        </w:rPr>
        <w:t>Why this step matters: A number nobody on the ward ever sees can't change anyone's behaviour — feedback only works if it reaches the people who can act on it.</w:t>
      </w:r>
      <w:r>
        <w:rPr>
          <w:i/>
        </w:rPr>
      </w:r>
    </w:p>
    <w:p>
      <w:r>
        <w:t>1. Share indicator results and improvement outcomes with the specific unit/team concerned on a fixed schedule, not only as an aggregate hospital-wide report.</w:t>
      </w:r>
    </w:p>
    <w:p>
      <w:r>
        <w:t>2. Pair every number shared with what it means and what's expected next.</w:t>
      </w:r>
    </w:p>
    <w:p>
      <w:r>
        <w:rPr>
          <w:b/>
          <w:i/>
          <w:sz w:val="18"/>
        </w:rPr>
        <w:t xml:space="preserve">Technical source(s) for these steps: </w:t>
      </w:r>
    </w:p>
    <w:p>
      <w:pPr>
        <w:pStyle w:val="ListParagraph"/>
      </w:pPr>
      <w:hyperlink r:id="rId9">
        <w:r>
          <w:rPr>
            <w:color w:val="0563C1"/>
            <w:u w:val="single"/>
          </w:rPr>
          <w:t>CASRAI. (n.d.). Donabedian model: Structure, process, outcome.</w:t>
        </w:r>
      </w:hyperlink>
    </w:p>
    <w:p>
      <w:pPr>
        <w:pStyle w:val="Heading1"/>
      </w:pPr>
      <w:r>
        <w:t>6. Stop-Work Authority</w:t>
      </w:r>
    </w:p>
    <w:p>
      <w:r>
        <w:t>Any staff member covered by this SOP has the explicit right to pause or refuse to proceed with an unsafe step described below — this is not a disciplinary matter, even if it later turns out the step would have been fine.</w:t>
      </w:r>
    </w:p>
    <w:p>
      <w:r>
        <w:t>Absence of infection prevention and control indicator monitoring is a CORE non-compliance. Where infection prevention and control indicator monitoring is absent, the deficiency is a stop-work trigger under this policy and shall be escalated for correction before normal compliance status is treated as restored. Absence of patient safety indicator monitoring is a CORE non-compliance. Where patient safety indicator monitoring is absent, the deficiency is a stop-work trigger under this policy and shall be escalated for correction before normal compliance status is treated as restored.</w:t>
      </w:r>
    </w:p>
    <w:p>
      <w:pPr>
        <w:pStyle w:val="Heading1"/>
      </w:pPr>
      <w:r>
        <w:t>7. Records</w:t>
      </w:r>
    </w:p>
    <w:p>
      <w:r>
        <w:t>This SOP produces and maintains Records 1 through 29 (see the PSQ.3 Records folder).</w:t>
      </w:r>
    </w:p>
    <w:p>
      <w:pPr>
        <w:pStyle w:val="Heading1"/>
      </w:pPr>
      <w:r>
        <w:t>8. Related Documents</w:t>
      </w:r>
    </w:p>
    <w:p>
      <w:pPr>
        <w:pStyle w:val="ListParagraph"/>
      </w:pPr>
      <w:r>
        <w:t>Policy on Quality Indicators, Data Analysis and Improvement (HCO/PSQ/POL/03) — this policy</w:t>
      </w:r>
    </w:p>
    <w:p>
      <w:pPr>
        <w:pStyle w:val="ListParagraph"/>
      </w:pPr>
      <w:r>
        <w:t>Required Records — PSQ.3 (see PSQ.3 Records folder)</w:t>
      </w:r>
    </w:p>
    <w:p>
      <w:pPr>
        <w:pStyle w:val="Heading1"/>
      </w:pPr>
      <w:r>
        <w:t>9. Where This SOP's Requirements Come From (Verified Sources)</w:t>
      </w:r>
    </w:p>
    <w:p>
      <w:pPr>
        <w:pStyle w:val="ListParagraph"/>
      </w:pPr>
      <w:hyperlink r:id="rId15">
        <w:r>
          <w:rPr>
            <w:rStyle w:val="Hyperlink"/>
            <w:i/>
          </w:rPr>
          <w:t>National Accreditation Board for Hospitals and Healthcare Providers. (2025). NABH accreditation standards for hospitals (6th ed.), PSQ.3. ISBN 978-81-965264-9-8. https://portal.nabh.co/images/Standards/NABH%20Hospital%20Accreditation%20Standard%206th%20Edition%20January%202025.pdf</w:t>
        </w:r>
      </w:hyperlink>
    </w:p>
    <w:p>
      <w:pPr>
        <w:pStyle w:val="ListParagraph"/>
      </w:pPr>
      <w:hyperlink r:id="rId13">
        <w:r>
          <w:rPr>
            <w:color w:val="0563C1"/>
            <w:u w:val="single"/>
          </w:rPr>
          <w:t>Centers for Disease Control and Prevention — National Healthcare Safety Network (NHSN), Patient Safety Component</w:t>
        </w:r>
      </w:hyperlink>
    </w:p>
    <w:p>
      <w:pPr>
        <w:pStyle w:val="ListParagraph"/>
      </w:pPr>
      <w:hyperlink r:id="rId14">
        <w:r>
          <w:rPr>
            <w:color w:val="0563C1"/>
            <w:u w:val="single"/>
          </w:rPr>
          <w:t>Ministry of Health and Family Welfare, Government of India (2018) — National Patient Safety Implementation Framework (2018–2025)</w:t>
        </w:r>
      </w:hyperlink>
    </w:p>
    <w:p>
      <w:pPr>
        <w:pStyle w:val="Heading1"/>
      </w:pPr>
      <w:r>
        <w:t>10. Review</w:t>
      </w:r>
    </w:p>
    <w:p>
      <w:r>
        <w:t>This SOP is reviewed at least annually by the Quality Coordinator together with the Safety/Quality Committee, using the outcomes of the annual programme review, and immediately if an audit or incident analysis finds it isn't working as written.</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asrai.org/guides/donabedian-model-structure-process-outcome" TargetMode="External"/><Relationship Id="rId10" Type="http://schemas.openxmlformats.org/officeDocument/2006/relationships/hyperlink" Target="https://www.who.int/publications/i/item/WHO-HIS-SDS-2018.9" TargetMode="External"/><Relationship Id="rId11" Type="http://schemas.openxmlformats.org/officeDocument/2006/relationships/hyperlink" Target="https://psnet.ahrq.gov/primer/adverse-events-near-misses-and-errors" TargetMode="External"/><Relationship Id="rId12" Type="http://schemas.openxmlformats.org/officeDocument/2006/relationships/hyperlink" Target="https://www.health.state.mn.us/communities/practice/resources/phqitoolbox/pdsa.html" TargetMode="External"/><Relationship Id="rId13" Type="http://schemas.openxmlformats.org/officeDocument/2006/relationships/hyperlink" Target="https://www.cdc.gov/nhsn/psc/index.html" TargetMode="External"/><Relationship Id="rId14" Type="http://schemas.openxmlformats.org/officeDocument/2006/relationships/hyperlink" Target="https://main.mohfw.gov.in/sites/default/files/national%20patient%20safety%20implimentation_for%20web.pdf" TargetMode="External"/><Relationship Id="rId15" Type="http://schemas.openxmlformats.org/officeDocument/2006/relationships/hyperlink" Target="https://portal.nabh.co/images/Standards/NABH%20Hospital%20Accreditation%20Standard%206th%20Edition%20January%20202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