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Planned Facilities, Utilities and Environment-Friendly Measures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Indian Standard (IS) 732 (wiring practice) and IS 3043 (earthing) are NBC-pointed guides for how the installation should behave. They are not extra laws in the disclaimer. Central Electricity Authority electrical-supply regulations are not a numbered standard reference in this policy.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DG</w:t>
            </w:r>
          </w:p>
        </w:tc>
        <w:tc>
          <w:tcPr>
            <w:tcW w:type="pct" w:w="22%"/>
            <w:tcBorders>
              <w:top w:val="single" w:color="999999" w:sz="4"/>
              <w:left w:val="single" w:color="999999" w:sz="4"/>
              <w:bottom w:val="single" w:color="999999" w:sz="4"/>
              <w:right w:val="single" w:color="999999" w:sz="4"/>
            </w:tcBorders>
            <w:shd w:fill="E8E8E8" w:val="clear"/>
          </w:tcPr>
          <w:p>
            <w:r>
              <w:rPr>
                <w:b w:val="0"/>
              </w:rPr>
              <w:t>diesel generator</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w:t>
            </w:r>
          </w:p>
        </w:tc>
      </w:tr>
      <w:tr>
        <w:tc>
          <w:tcPr>
            <w:tcW w:type="pct" w:w="22%"/>
            <w:tcBorders>
              <w:top w:val="single" w:color="999999" w:sz="4"/>
              <w:left w:val="single" w:color="999999" w:sz="4"/>
              <w:bottom w:val="single" w:color="999999" w:sz="4"/>
              <w:right w:val="single" w:color="999999" w:sz="4"/>
            </w:tcBorders>
            <w:shd w:fill="E8E8E8" w:val="clear"/>
          </w:tcPr>
          <w:p>
            <w:r>
              <w:rPr>
                <w:b w:val="0"/>
              </w:rPr>
              <w:t>IPHS</w:t>
            </w:r>
          </w:p>
        </w:tc>
        <w:tc>
          <w:tcPr>
            <w:tcW w:type="pct" w:w="22%"/>
            <w:tcBorders>
              <w:top w:val="single" w:color="999999" w:sz="4"/>
              <w:left w:val="single" w:color="999999" w:sz="4"/>
              <w:bottom w:val="single" w:color="999999" w:sz="4"/>
              <w:right w:val="single" w:color="999999" w:sz="4"/>
            </w:tcBorders>
            <w:shd w:fill="E8E8E8" w:val="clear"/>
          </w:tcPr>
          <w:p>
            <w:r>
              <w:rPr>
                <w:b w:val="0"/>
              </w:rPr>
              <w:t>Indian Public Health Standards</w:t>
            </w:r>
          </w:p>
        </w:tc>
      </w:tr>
      <w:tr>
        <w:tc>
          <w:tcPr>
            <w:tcW w:type="pct" w:w="22%"/>
            <w:tcBorders>
              <w:top w:val="single" w:color="999999" w:sz="4"/>
              <w:left w:val="single" w:color="999999" w:sz="4"/>
              <w:bottom w:val="single" w:color="999999" w:sz="4"/>
              <w:right w:val="single" w:color="999999" w:sz="4"/>
            </w:tcBorders>
            <w:shd w:fill="E8E8E8" w:val="clear"/>
          </w:tcPr>
          <w:p>
            <w:r>
              <w:rPr>
                <w:b w:val="0"/>
              </w:rPr>
              <w:t>GDWQ</w:t>
            </w:r>
          </w:p>
        </w:tc>
        <w:tc>
          <w:tcPr>
            <w:tcW w:type="pct" w:w="22%"/>
            <w:tcBorders>
              <w:top w:val="single" w:color="999999" w:sz="4"/>
              <w:left w:val="single" w:color="999999" w:sz="4"/>
              <w:bottom w:val="single" w:color="999999" w:sz="4"/>
              <w:right w:val="single" w:color="999999" w:sz="4"/>
            </w:tcBorders>
            <w:shd w:fill="E8E8E8" w:val="clear"/>
          </w:tcPr>
          <w:p>
            <w:r>
              <w:rPr>
                <w:b w:val="0"/>
              </w:rPr>
              <w:t>WHO Guidelines for Drinking-water Quality</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RO</w:t>
            </w:r>
          </w:p>
        </w:tc>
        <w:tc>
          <w:tcPr>
            <w:tcW w:type="pct" w:w="22%"/>
            <w:tcBorders>
              <w:top w:val="single" w:color="999999" w:sz="4"/>
              <w:left w:val="single" w:color="999999" w:sz="4"/>
              <w:bottom w:val="single" w:color="999999" w:sz="4"/>
              <w:right w:val="single" w:color="999999" w:sz="4"/>
            </w:tcBorders>
            <w:shd w:fill="E8E8E8" w:val="clear"/>
          </w:tcPr>
          <w:p>
            <w:r>
              <w:rPr>
                <w:b w:val="0"/>
              </w:rPr>
              <w:t>reverse osmosis</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supply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HVAC</w:t>
            </w:r>
          </w:p>
        </w:tc>
        <w:tc>
          <w:tcPr>
            <w:tcW w:type="pct" w:w="22%"/>
            <w:tcBorders>
              <w:top w:val="single" w:color="999999" w:sz="4"/>
              <w:left w:val="single" w:color="999999" w:sz="4"/>
              <w:bottom w:val="single" w:color="999999" w:sz="4"/>
              <w:right w:val="single" w:color="999999" w:sz="4"/>
            </w:tcBorders>
            <w:shd w:fill="E8E8E8" w:val="clear"/>
          </w:tcPr>
          <w:p>
            <w:r>
              <w:rPr>
                <w:b w:val="0"/>
              </w:rPr>
              <w:t>heating, ventilation and air-conditioning</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pStyle w:val="Heading1"/>
        <w:spacing w:after="120" w:before="280"/>
      </w:pPr>
      <w:r>
        <w:t>12.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Facility Management and Safety chapter, standard FMS.1. (this policy is written so those requirements are met in day-to-day work; it is not a commentary on the standard).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