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Multidisciplinary Committee Guides Pharmacy Services and Medication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It covers six elements: formulary development; committee governance of pharmacy services; acquisition of formulary and non-formulary medications; medication access when the pharmacy is closed; implantable prostheses and medical devices; and clinician adherence to the formulary.</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5. Implantable prostheses and medical devices are included in the committee's scope per the relevant policy; detailed guidance is in the implants-and-devices policy.</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The committee reviews medication-usage data, adverse drug reactions, medication errors and near-miss trends reported under the relevant policy,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«Hospital Name» maintains «a night cupboard / emergency medication stock on each in-patient floor» accessible to the duty nurse. The stock list is defined by the committee and matches the emergency-medications list in the medication-storage policy.</w:t>
      </w:r>
    </w:p>
    <w:p>
      <w:pPr>
        <w:spacing w:after="140"/>
      </w:pPr>
      <w:r>
        <w:rPr>
          <w:sz w:val="22"/>
          <w:szCs w:val="22"/>
        </w:rPr>
        <w:t>The duty nurse documents every withdrawal against the patient's name and medication order. The Pharmacy In-Charge reconciles withdrawals the next working day. Missing or unreconciled items trigger an incident report under the relevant policy.</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Detailed guidance on procurement, patient and family counselling, and traceability of implants is in the implants-and-devices policy. This step ensures the committee has oversight; that policy covers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Implant list maintained under committee oversight.</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Root-cause analysis is required when the same lapse recurs; the organisation's defined recurrence threshold applies, as documented in the hospital's Root Cause Analysis procedure.</w:t>
      </w:r>
    </w:p>
    <w:p>
      <w:pPr>
        <w:spacing w:after="140"/>
      </w:pPr>
      <w:r>
        <w:rPr>
          <w:sz w:val="22"/>
          <w:szCs w:val="22"/>
        </w:rPr>
        <w:t>This policy is reviewed «annually», and sooner when any other medication-management policy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MOM/POL/01  |  Controlled document  |  Policy on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