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It covers nine elements.</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It covers nine elements: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A wrong-strength, wrong-route, or wrong-time event is a medication error reported under the relevant policy.</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Administration errors and near-misses reported under the relevant policy.</w:t>
      </w:r>
    </w:p>
    <w:p>
      <w:pPr>
        <w:spacing w:after="140"/>
      </w:pPr>
      <w:r>
        <w:rPr>
          <w:sz w:val="22"/>
          <w:szCs w:val="22"/>
        </w:rPr>
        <w:t>Root-cause analysis is required when the same administration lapse recurs; the organisation's defined recurrence threshold applies, as documented in the hospital's Root Cause Analysis procedure.</w:t>
      </w:r>
    </w:p>
    <w:p>
      <w:pPr>
        <w:spacing w:after="140"/>
      </w:pPr>
      <w:r>
        <w:rPr>
          <w:sz w:val="22"/>
          <w:szCs w:val="22"/>
        </w:rPr>
        <w:t>This policy is reviewed «annually», and sooner when the dispensing or medication-event-monitoring policy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w:t>
            </w:r>
          </w:p>
        </w:tc>
        <w:tc>
          <w:tcPr>
            <w:tcW w:type="pct" w:w="22%"/>
            <w:tcBorders>
              <w:top w:val="single" w:color="999999" w:sz="4"/>
              <w:left w:val="single" w:color="999999" w:sz="4"/>
              <w:bottom w:val="single" w:color="999999" w:sz="4"/>
              <w:right w:val="single" w:color="999999" w:sz="4"/>
            </w:tcBorders>
            <w:shd w:fill="E8E8E8" w:val="clear"/>
          </w:tcPr>
          <w:p>
            <w:r>
              <w:rPr>
                <w:b w:val="0"/>
              </w:rPr>
              <w:t>intramuscular</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SC</w:t>
            </w:r>
          </w:p>
        </w:tc>
        <w:tc>
          <w:tcPr>
            <w:tcW w:type="pct" w:w="22%"/>
            <w:tcBorders>
              <w:top w:val="single" w:color="999999" w:sz="4"/>
              <w:left w:val="single" w:color="999999" w:sz="4"/>
              <w:bottom w:val="single" w:color="999999" w:sz="4"/>
              <w:right w:val="single" w:color="999999" w:sz="4"/>
            </w:tcBorders>
            <w:shd w:fill="E8E8E8" w:val="clear"/>
          </w:tcPr>
          <w:p>
            <w:r>
              <w:rPr>
                <w:b w:val="0"/>
              </w:rPr>
              <w:t>subcutaneous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