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«Hospital Name»</w:t>
      </w:r>
    </w:p>
    <w:p>
      <w:pPr>
        <w:spacing w:after="60"/>
        <w:jc w:val="center"/>
      </w:pPr>
      <w:r>
        <w:rPr>
          <w:b/>
          <w:bCs/>
          <w:sz w:val="28"/>
          <w:szCs w:val="28"/>
        </w:rPr>
        <w:t xml:space="preserve">Prevention of Healthcare Associated Infections in Patients</w:t>
      </w:r>
    </w:p>
    <w:p>
      <w:pPr>
        <w:spacing w:after="240"/>
        <w:jc w:val="center"/>
      </w:pPr>
      <w:r>
        <w:rPr>
          <w:i/>
          <w:iCs/>
          <w:sz w:val="20"/>
          <w:szCs w:val="20"/>
        </w:rPr>
        <w:t xml:space="preserve">HCO Full Accreditation, 6th Edition — IPC.5.</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«HCO/IPC/POL/05»</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«Infection Prevention and Control Officer»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The organisation takes actions to prevent healthcare associated infections (HAI) in patients.</w:t>
      </w:r>
    </w:p>
    <w:p>
      <w:pPr>
        <w:pStyle w:val="Heading1"/>
        <w:spacing w:after="120" w:before="280"/>
      </w:pPr>
      <w:r>
        <w:t xml:space="preserve">1. Purpose</w:t>
      </w:r>
    </w:p>
    <w:p>
      <w:pPr>
        <w:spacing w:after="140"/>
      </w:pPr>
      <w:r>
        <w:rPr>
          <w:sz w:val="22"/>
          <w:szCs w:val="22"/>
        </w:rPr>
        <w:t xml:space="preserve">This policy says how «Hospital Name» meets NABH Hospitals 6th Edition standard IPC.5: The organisation takes actions to prevent healthcare associated infections (HAI) in patients.</w:t>
      </w:r>
    </w:p>
    <w:p>
      <w:pPr>
        <w:spacing w:after="140"/>
      </w:pPr>
      <w:r>
        <w:rPr>
          <w:sz w:val="22"/>
          <w:szCs w:val="22"/>
        </w:rPr>
        <w:t xml:space="preserve">This policy covers all 4 requirements under this standard, listed in detail below.</w:t>
      </w:r>
    </w:p>
    <w:p>
      <w:pPr>
        <w:spacing w:after="140"/>
      </w:pPr>
      <w:r>
        <w:rPr>
          <w:sz w:val="22"/>
          <w:szCs w:val="22"/>
        </w:rPr>
        <w:t xml:space="preserve">Chapter intent (official Standards PDF): The organisation implements an effective healthcare associated infection prevention and control programme. The programme is documented and aims at reducing / eliminating infection risks to patients, visitors and providers of care. The programme is implemented across the organisation, including clinical areas and support services. The organisation provides proper facilities and adequate resources to support the infection prevention and control programme. The organisation measures and acts to prevent or reduce the risk of healthcare associated infection in patients and staff. The organisation has an effective antimicrobial management programme through regularly updated antimicrobial policy based on local data and monitors its implementation. Programme also includes monitoring of antimicrobials usage in the organisation. Surveillance activities are incorporated in the infection prevention and control programme. The programme includes disinfection / sterilisation activities and biomedical waste (BMW) management.</w:t>
      </w:r>
    </w:p>
    <w:p>
      <w:pPr>
        <w:spacing w:after="140"/>
      </w:pPr>
      <w:r>
        <w:rPr>
          <w:sz w:val="22"/>
          <w:szCs w:val="22"/>
        </w:rPr>
        <w:t xml:space="preserve">This policy covers prevention of healthcare associated infections in patients specifically. Related duties — like patient assessment, clinical care, medication management, or patient rights — are covered in the hospital's other policies, not repeated here. Other IPC standards stay with their own policies.</w:t>
      </w:r>
    </w:p>
    <w:p>
      <w:pPr>
        <w:spacing w:after="140"/>
      </w:pPr>
      <w:r>
        <w:rPr>
          <w:sz w:val="22"/>
          <w:szCs w:val="22"/>
        </w:rPr>
        <w:t xml:space="preserve">Words marked «like this» are defaults. A blank marked «________» must be filled before issue.</w:t>
      </w:r>
    </w:p>
    <w:p>
      <w:pPr>
        <w:pStyle w:val="Heading1"/>
        <w:spacing w:after="120" w:before="280"/>
      </w:pPr>
      <w:r>
        <w:t xml:space="preserve">2. Scope</w:t>
      </w:r>
    </w:p>
    <w:p>
      <w:pPr>
        <w:spacing w:after="140"/>
      </w:pPr>
      <w:r>
        <w:rPr>
          <w:sz w:val="22"/>
          <w:szCs w:val="22"/>
        </w:rPr>
        <w:t xml:space="preserve">This policy applies to staff who deliver clinical care, run support services (housekeeping, laundry, kitchen, CSSD, engineering), handle biomedical waste, or hold occupational-health duties at «Hospital Name», including the «Infection Prevention and Control Officer», the Infection Prevention and Control Officer and Nurse, treating doctors, nursing, CSSD, Occupational Health and the Quality Coordinator.</w:t>
      </w:r>
    </w:p>
    <w:p>
      <w:pPr>
        <w:spacing w:after="140"/>
      </w:pPr>
      <w:r>
        <w:rPr>
          <w:sz w:val="22"/>
          <w:szCs w:val="22"/>
        </w:rPr>
        <w:t xml:space="preserve">This policy covers all 4 requirements under this standard, listed in detail below.</w:t>
      </w:r>
    </w:p>
    <w:p>
      <w:pPr>
        <w:spacing w:after="140"/>
      </w:pPr>
      <w:r>
        <w:rPr>
          <w:sz w:val="22"/>
          <w:szCs w:val="22"/>
        </w:rPr>
        <w:t xml:space="preserve">This policy covers prevention of healthcare associated infections in patients specifically. Related duties — like patient assessment, clinical care, medication management, or patient rights — are covered in the hospital's other policies, not repeated here. Spell out abbreviations on first use in training materials. OE counts/levels/asterisks stay with the official portal Standards PDF. Method notes come from the Guidebook Interpretation paragraphs (scanned PDF md5 2c4489ee98de4ae9b49cba168ea9f42a).</w:t>
      </w:r>
    </w:p>
    <w:p>
      <w:pPr>
        <w:pStyle w:val="Heading1"/>
        <w:spacing w:after="120" w:before="280"/>
      </w:pPr>
      <w:r>
        <w:t xml:space="preserve">3. Policy standards</w:t>
      </w:r>
    </w:p>
    <w:p>
      <w:pPr>
        <w:spacing w:after="140"/>
      </w:pPr>
      <w:r>
        <w:rPr>
          <w:sz w:val="22"/>
          <w:szCs w:val="22"/>
        </w:rPr>
        <w:t xml:space="preserve">«Hospital Name» implements IPC.5 so that the organisation takes actions to prevent healthcare associated infections (HAI) in patients.</w:t>
      </w:r>
    </w:p>
    <w:p>
      <w:pPr>
        <w:spacing w:after="140"/>
      </w:pPr>
      <w:r>
        <w:rPr>
          <w:sz w:val="22"/>
          <w:szCs w:val="22"/>
        </w:rPr>
        <w:t xml:space="preserve">Staff follow written guidance, keep the records listed in the OE table, and escalate when stop-work triggers fire (if this policy includes a stop-work section).</w:t>
      </w:r>
    </w:p>
    <w:p>
      <w:pPr>
        <w:pStyle w:val="Heading1"/>
        <w:spacing w:after="120" w:before="280"/>
      </w:pPr>
      <w:r>
        <w:t xml:space="preserve">4. Non-negotiable rules</w:t>
      </w:r>
    </w:p>
    <w:p>
      <w:pPr>
        <w:spacing w:after="80"/>
      </w:pPr>
      <w:r>
        <w:rPr>
          <w:sz w:val="22"/>
          <w:szCs w:val="22"/>
        </w:rPr>
        <w:t xml:space="preserve">1. Do not skip: The organisation takes action to prevent catheter-associated urinary tract Infections.</w:t>
      </w:r>
    </w:p>
    <w:p>
      <w:pPr>
        <w:spacing w:after="80"/>
      </w:pPr>
      <w:r>
        <w:rPr>
          <w:sz w:val="22"/>
          <w:szCs w:val="22"/>
        </w:rPr>
        <w:t xml:space="preserve">2. Do not skip: The organisation takes action to prevent ventilator- associated pneumonia.</w:t>
      </w:r>
    </w:p>
    <w:p>
      <w:pPr>
        <w:spacing w:after="80"/>
      </w:pPr>
      <w:r>
        <w:rPr>
          <w:sz w:val="22"/>
          <w:szCs w:val="22"/>
        </w:rPr>
        <w:t xml:space="preserve">3. Do not skip: The organisation takes action to prevent central line associated blood stream infections.</w:t>
      </w:r>
    </w:p>
    <w:p>
      <w:pPr>
        <w:spacing w:after="80"/>
      </w:pPr>
      <w:r>
        <w:rPr>
          <w:sz w:val="22"/>
          <w:szCs w:val="22"/>
        </w:rPr>
        <w:t xml:space="preserve">4. Do not skip: The organisation takes action to prevent surgical site infections.</w:t>
      </w:r>
    </w:p>
    <w:p>
      <w:pPr>
        <w:spacing w:after="80"/>
      </w:pPr>
      <w:r>
        <w:rPr>
          <w:sz w:val="22"/>
          <w:szCs w:val="22"/>
        </w:rPr>
        <w:t xml:space="preserve">5. Do not bypass the stop-work authority in section 6 when the trigger conditions are met.</w:t>
      </w:r>
    </w:p>
    <w:p>
      <w:pPr>
        <w:spacing w:after="80"/>
      </w:pPr>
      <w:r>
        <w:rPr>
          <w:sz w:val="22"/>
          <w:szCs w:val="22"/>
        </w:rPr>
        <w:t xml:space="preserve">6. Staff who see an IPC.5 rule broken report it the same shift to the «department in-charge» or the «Infection Prevention and Control Officer».</w:t>
      </w:r>
    </w:p>
    <w:p>
      <w:pPr>
        <w:pStyle w:val="Heading1"/>
        <w:spacing w:after="120" w:before="280"/>
      </w:pPr>
      <w:r>
        <w:t xml:space="preserve">5. What we do</w:t>
      </w:r>
    </w:p>
    <w:p>
      <w:pPr>
        <w:pStyle w:val="Heading2"/>
        <w:spacing w:after="100" w:before="220"/>
      </w:pPr>
      <w:r>
        <w:t xml:space="preserve">5.1 The organisation takes action to prevent catheter-associated urinary...</w:t>
      </w:r>
    </w:p>
    <w:p>
      <w:pPr>
        <w:spacing w:after="140"/>
      </w:pPr>
      <w:r>
        <w:rPr>
          <w:sz w:val="22"/>
          <w:szCs w:val="22"/>
        </w:rPr>
        <w:t xml:space="preserve">Actions to prevent catheter-associated urinary tract infection: insert only when indicated, aseptic insertion, closed system, daily review for removal, and standard plus transmission-based precautions as required.</w:t>
      </w:r>
    </w:p>
    <w:p>
      <w:pPr>
        <w:spacing w:after="140"/>
      </w:pPr>
      <w:r>
        <w:rPr>
          <w:sz w:val="22"/>
          <w:szCs w:val="22"/>
        </w:rPr>
        <w:t xml:space="preserve">Inserting a Foley without this bundle is a stop-work trigger (section 6). Nursing records indication and daily review.</w:t>
      </w:r>
    </w:p>
    <w:p>
      <w:pPr>
        <w:spacing w:after="140"/>
      </w:pPr>
      <w:r>
        <w:rPr>
          <w:sz w:val="22"/>
          <w:szCs w:val="22"/>
        </w:rPr>
        <w:t xml:space="preserve">Method note (from guidebook interpretation): The basic principles of infection prevention, namely standard Precautions and transmission-based precautions, shall be adhered. The organisation shall develop, implement and monitor a care bundle to prevent catheter-associated urinary tract infections. A good reference is the CDC/WHO/SHEA guidelines, alongside Hospital Infection Society India (HISI) guidelines — NABH does not mandate the international bodies specifically. Theorganisation takes action to prevent ventilator- associated pneumonia.</w:t>
      </w:r>
    </w:p>
    <w:p>
      <w:pPr>
        <w:pStyle w:val="Heading2"/>
        <w:spacing w:after="100" w:before="220"/>
      </w:pPr>
      <w:r>
        <w:t xml:space="preserve">5.2 The organisation takes action to prevent ventilator- associated...</w:t>
      </w:r>
    </w:p>
    <w:p>
      <w:pPr>
        <w:spacing w:after="140"/>
      </w:pPr>
      <w:r>
        <w:rPr>
          <w:sz w:val="22"/>
          <w:szCs w:val="22"/>
        </w:rPr>
        <w:t xml:space="preserve">Actions to prevent ventilator-associated pneumonia: head-of-bed elevation as clinically allowed, oral care, sedation/weaning review, circuit handling as the bundle states, and standard plus transmission-based precautions.</w:t>
      </w:r>
    </w:p>
    <w:p>
      <w:pPr>
        <w:spacing w:after="140"/>
      </w:pPr>
      <w:r>
        <w:rPr>
          <w:sz w:val="22"/>
          <w:szCs w:val="22"/>
        </w:rPr>
        <w:t xml:space="preserve">Starting invasive ventilation without the VAP bundle in place (as soon as the airway is secure) is a stop-work trigger for continuation of non-essential steps (section 6).</w:t>
      </w:r>
    </w:p>
    <w:p>
      <w:pPr>
        <w:spacing w:after="140"/>
      </w:pPr>
      <w:r>
        <w:rPr>
          <w:sz w:val="22"/>
          <w:szCs w:val="22"/>
        </w:rPr>
        <w:t xml:space="preserve">Method note (from guidebook interpretation): The basic principles of infection prevention, namely standard precautions and transmission-based precautions, shall be adhered. The organisation shall develop, implement and monitor a care bundle to prevent ventilator-associated pneumonia. A good reference is the CDC/WHO/SHEA guidelines, alongside Hospital Infection Society India (HISI) guidelines — NABH does not mandate the international bodies specifically.</w:t>
      </w:r>
    </w:p>
    <w:p>
      <w:pPr>
        <w:pStyle w:val="Heading2"/>
        <w:spacing w:after="100" w:before="220"/>
      </w:pPr>
      <w:r>
        <w:t xml:space="preserve">5.3 The organisation takes action to prevent central line associated blood...</w:t>
      </w:r>
    </w:p>
    <w:p>
      <w:pPr>
        <w:spacing w:after="140"/>
      </w:pPr>
      <w:r>
        <w:rPr>
          <w:sz w:val="22"/>
          <w:szCs w:val="22"/>
        </w:rPr>
        <w:t xml:space="preserve">Actions to prevent central-line associated bloodstream infection: maximal barrier insertion, chlorhexidine skin prep (or the organisation's equivalent), daily line necessity review, and hub care.</w:t>
      </w:r>
    </w:p>
    <w:p>
      <w:pPr>
        <w:spacing w:after="140"/>
      </w:pPr>
      <w:r>
        <w:rPr>
          <w:sz w:val="22"/>
          <w:szCs w:val="22"/>
        </w:rPr>
        <w:t xml:space="preserve">Inserting a central line without the CLABSI bundle is a stop-work trigger (section 6).</w:t>
      </w:r>
    </w:p>
    <w:p>
      <w:pPr>
        <w:spacing w:after="140"/>
      </w:pPr>
      <w:r>
        <w:rPr>
          <w:sz w:val="22"/>
          <w:szCs w:val="22"/>
        </w:rPr>
        <w:t xml:space="preserve">Method note (from guidebook interpretation): The basic principles of infection prevention, namely standard precautions and transmission-based precautions, shall be adhered. The organisation shall develop, implement and monitor the compliance to care bundle to prevent catheter linked blood stream infections. A good reference is the CDC/WHO/SHEA guidelines, alongside Hospital Infection Society India (HISI) guidelines — NABH does not mandate the international bodies specifically.</w:t>
      </w:r>
    </w:p>
    <w:p>
      <w:pPr>
        <w:pStyle w:val="Heading2"/>
        <w:spacing w:after="100" w:before="220"/>
      </w:pPr>
      <w:r>
        <w:t xml:space="preserve">5.4 The organisation takes action to prevent surgical site infections</w:t>
      </w:r>
    </w:p>
    <w:p>
      <w:pPr>
        <w:spacing w:after="140"/>
      </w:pPr>
      <w:r>
        <w:rPr>
          <w:sz w:val="22"/>
          <w:szCs w:val="22"/>
        </w:rPr>
        <w:t xml:space="preserve">Actions to prevent surgical site infection: antimicrobial prophylaxis as the policy times it, skin prep, glycaemic and temperature control as the bundle states, and sterile technique.</w:t>
      </w:r>
    </w:p>
    <w:p>
      <w:pPr>
        <w:spacing w:after="140"/>
      </w:pPr>
      <w:r>
        <w:rPr>
          <w:sz w:val="22"/>
          <w:szCs w:val="22"/>
        </w:rPr>
        <w:t xml:space="preserve">Making an incision without the SSI bundle items that must be in place before knife-to-skin is a stop-work trigger (section 6). Cross-reference the surgical-safety policy.</w:t>
      </w:r>
    </w:p>
    <w:p>
      <w:pPr>
        <w:spacing w:after="140"/>
      </w:pPr>
      <w:r>
        <w:rPr>
          <w:sz w:val="22"/>
          <w:szCs w:val="22"/>
        </w:rPr>
        <w:t xml:space="preserve">Method note (from guidebook interpretation): The basic principles of infection prevention, namely standard precautions and transmission-based precautions, shall be adhered. This shall include pre-op, intra-op and post-op measures and develop ,implement and monitor the compliance to care bundle to prevent surgical site infections. A good reference is the CDC/WHO/SHEA guidelines, alongside Hospital Infection Society India (HISI) guidelines — NABH does not mandate the international bodies specifically. is =].</w:t>
      </w:r>
    </w:p>
    <w:p>
      <w:pPr>
        <w:pStyle w:val="Heading1"/>
        <w:spacing w:after="120" w:before="280"/>
      </w:pPr>
      <w:r>
        <w:t xml:space="preserve">6. Stop-work authority</w:t>
      </w:r>
    </w:p>
    <w:p>
      <w:pPr>
        <w:spacing w:after="140"/>
      </w:pPr>
      <w:r>
        <w:rPr>
          <w:sz w:val="22"/>
          <w:szCs w:val="22"/>
        </w:rPr>
        <w:t xml:space="preserve">Do not insert an indwelling urinary catheter, insert a central line, start invasive ventilation, or make a surgical incision unless the organisation's prevention bundle for that HAI (CAUTI, CLABSI, VAP or SSI) is in place for this patient.</w:t>
      </w:r>
    </w:p>
    <w:p>
      <w:pPr>
        <w:spacing w:after="140"/>
      </w:pPr>
      <w:r>
        <w:rPr>
          <w:sz w:val="22"/>
          <w:szCs w:val="22"/>
        </w:rPr>
        <w:t xml:space="preserve">Stop-work applies to the device insertion or incision. Life-saving airway or haemorrhage control continues with the best available precautions and the bundle is completed as soon as the patient is stable.</w:t>
      </w:r>
    </w:p>
    <w:p>
      <w:pPr>
        <w:spacing w:after="140"/>
      </w:pPr>
      <w:r>
        <w:rPr>
          <w:sz w:val="22"/>
          <w:szCs w:val="22"/>
        </w:rPr>
        <w:t xml:space="preserve">The person who stops tells the «treating doctor» and the «Infection Prevention and Control Officer» the same shift. Refusing an insertion without the bundle is not a disciplinary matter.</w:t>
      </w:r>
    </w:p>
    <w:p>
      <w:pPr>
        <w:pStyle w:val="Heading1"/>
        <w:spacing w:after="120" w:before="280"/>
      </w:pPr>
      <w:r>
        <w:t xml:space="preserve">7. Governance and responsibility</w:t>
      </w:r>
    </w:p>
    <w:p>
      <w:pPr>
        <w:spacing w:after="20" w:before="100"/>
      </w:pPr>
      <w:r>
        <w:rPr>
          <w:b/>
          <w:bCs/>
          <w:sz w:val="22"/>
          <w:szCs w:val="22"/>
        </w:rPr>
        <w:t xml:space="preserve">Medical Superintendent</w:t>
      </w:r>
    </w:p>
    <w:p>
      <w:pPr>
        <w:pStyle w:val="ListParagraph"/>
        <w:numPr>
          <w:ilvl w:val="0"/>
          <w:numId w:val="1"/>
        </w:numPr>
        <w:spacing w:after="60"/>
      </w:pPr>
      <w:r>
        <w:rPr>
          <w:sz w:val="22"/>
          <w:szCs w:val="22"/>
        </w:rPr>
        <w:t xml:space="preserve">Accountable that IPC.5 is resourced and followed.</w:t>
      </w:r>
    </w:p>
    <w:p>
      <w:pPr>
        <w:pStyle w:val="ListParagraph"/>
        <w:numPr>
          <w:ilvl w:val="0"/>
          <w:numId w:val="1"/>
        </w:numPr>
        <w:spacing w:after="60"/>
      </w:pPr>
      <w:r>
        <w:rPr>
          <w:sz w:val="22"/>
          <w:szCs w:val="22"/>
        </w:rPr>
        <w:t xml:space="preserve">Acts on outbreaks, sterilisation recalls and exposure events that reach top leadership.</w:t>
      </w:r>
    </w:p>
    <w:p>
      <w:pPr>
        <w:spacing w:after="20" w:before="100"/>
      </w:pPr>
      <w:r>
        <w:rPr>
          <w:b/>
          <w:bCs/>
          <w:sz w:val="22"/>
          <w:szCs w:val="22"/>
        </w:rPr>
        <w:t xml:space="preserve">Infection Prevention and Control Officer</w:t>
      </w:r>
    </w:p>
    <w:p>
      <w:pPr>
        <w:pStyle w:val="ListParagraph"/>
        <w:numPr>
          <w:ilvl w:val="0"/>
          <w:numId w:val="1"/>
        </w:numPr>
        <w:spacing w:after="60"/>
      </w:pPr>
      <w:r>
        <w:rPr>
          <w:sz w:val="22"/>
          <w:szCs w:val="22"/>
        </w:rPr>
        <w:t xml:space="preserve">Owns day-to-day implementation and records for this standard.</w:t>
      </w:r>
    </w:p>
    <w:p>
      <w:pPr>
        <w:spacing w:after="20" w:before="100"/>
      </w:pPr>
      <w:r>
        <w:rPr>
          <w:b/>
          <w:bCs/>
          <w:sz w:val="22"/>
          <w:szCs w:val="22"/>
        </w:rPr>
        <w:t xml:space="preserve">Infection Prevention and Control Officer</w:t>
      </w:r>
    </w:p>
    <w:p>
      <w:pPr>
        <w:pStyle w:val="ListParagraph"/>
        <w:numPr>
          <w:ilvl w:val="0"/>
          <w:numId w:val="1"/>
        </w:numPr>
        <w:spacing w:after="60"/>
      </w:pPr>
      <w:r>
        <w:rPr>
          <w:sz w:val="22"/>
          <w:szCs w:val="22"/>
        </w:rPr>
        <w:t xml:space="preserve">Coordinates the IPC programme across standards; brings surveillance and incidents to the Infection Prevention and Control Committee.</w:t>
      </w:r>
    </w:p>
    <w:p>
      <w:pPr>
        <w:spacing w:after="20" w:before="100"/>
      </w:pPr>
      <w:r>
        <w:rPr>
          <w:b/>
          <w:bCs/>
          <w:sz w:val="22"/>
          <w:szCs w:val="22"/>
        </w:rPr>
        <w:t xml:space="preserve">Infection Prevention and Control Nurse</w:t>
      </w:r>
    </w:p>
    <w:p>
      <w:pPr>
        <w:pStyle w:val="ListParagraph"/>
        <w:numPr>
          <w:ilvl w:val="0"/>
          <w:numId w:val="1"/>
        </w:numPr>
        <w:spacing w:after="60"/>
      </w:pPr>
      <w:r>
        <w:rPr>
          <w:sz w:val="22"/>
          <w:szCs w:val="22"/>
        </w:rPr>
        <w:t xml:space="preserve">Runs day-to-day surveillance, hand-hygiene audit and staff education as this standard requires.</w:t>
      </w:r>
    </w:p>
    <w:p>
      <w:pPr>
        <w:spacing w:after="20" w:before="100"/>
      </w:pPr>
      <w:r>
        <w:rPr>
          <w:b/>
          <w:bCs/>
          <w:sz w:val="22"/>
          <w:szCs w:val="22"/>
        </w:rPr>
        <w:t xml:space="preserve">Quality Coordinator</w:t>
      </w:r>
    </w:p>
    <w:p>
      <w:pPr>
        <w:pStyle w:val="ListParagraph"/>
        <w:numPr>
          <w:ilvl w:val="0"/>
          <w:numId w:val="1"/>
        </w:numPr>
        <w:spacing w:after="60"/>
      </w:pPr>
      <w:r>
        <w:rPr>
          <w:sz w:val="22"/>
          <w:szCs w:val="22"/>
        </w:rPr>
        <w:t xml:space="preserve">Audits this policy «quarterly»; holds training acknowledgements.</w:t>
      </w:r>
    </w:p>
    <w:p>
      <w:pPr>
        <w:pStyle w:val="Heading1"/>
        <w:spacing w:after="120" w:before="280"/>
      </w:pPr>
      <w:r>
        <w:t xml:space="preserve">8. Quality monitoring (RCA → CAPA)</w:t>
      </w:r>
    </w:p>
    <w:p>
      <w:pPr>
        <w:spacing w:after="140"/>
      </w:pPr>
      <w:r>
        <w:rPr>
          <w:sz w:val="22"/>
          <w:szCs w:val="22"/>
        </w:rPr>
        <w:t xml:space="preserve">The Quality Coordinator audits this policy «quarterly». The audit reviews:</w:t>
      </w:r>
    </w:p>
    <w:p>
      <w:pPr>
        <w:pStyle w:val="ListParagraph"/>
        <w:numPr>
          <w:ilvl w:val="0"/>
          <w:numId w:val="1"/>
        </w:numPr>
        <w:spacing w:after="60"/>
      </w:pPr>
      <w:r>
        <w:rPr>
          <w:sz w:val="22"/>
          <w:szCs w:val="22"/>
        </w:rPr>
        <w:t xml:space="preserve">Records for a sample of this standard's objective elements, checked against the What-we-do steps.</w:t>
      </w:r>
    </w:p>
    <w:p>
      <w:pPr>
        <w:pStyle w:val="ListParagraph"/>
        <w:numPr>
          <w:ilvl w:val="0"/>
          <w:numId w:val="1"/>
        </w:numPr>
        <w:spacing w:after="60"/>
      </w:pPr>
      <w:r>
        <w:rPr>
          <w:sz w:val="22"/>
          <w:szCs w:val="22"/>
        </w:rPr>
        <w:t xml:space="preserve">Stop-work events (if any) are logged with outcome.</w:t>
      </w:r>
    </w:p>
    <w:p>
      <w:pPr>
        <w:spacing w:after="140"/>
      </w:pPr>
      <w:r>
        <w:rPr>
          <w:sz w:val="22"/>
          <w:szCs w:val="22"/>
        </w:rPr>
        <w:t xml:space="preserve">Root-cause analysis is required when a gap found in this audit remains open beyond «90 days».</w:t>
      </w:r>
    </w:p>
    <w:p>
      <w:pPr>
        <w:spacing w:after="140"/>
      </w:pPr>
      <w:r>
        <w:rPr>
          <w:sz w:val="22"/>
          <w:szCs w:val="22"/>
        </w:rPr>
        <w:t xml:space="preserve">This policy is reviewed «annually», and sooner after a related outbreak, sterilisation failure or exposure cluster.</w:t>
      </w:r>
    </w:p>
    <w:p>
      <w:pPr>
        <w:pStyle w:val="Heading1"/>
        <w:spacing w:after="120" w:before="280"/>
      </w:pPr>
      <w:r>
        <w:t xml:space="preserve">9. Training and staff acknowledgement</w:t>
      </w:r>
    </w:p>
    <w:p>
      <w:pPr>
        <w:spacing w:after="140"/>
      </w:pPr>
      <w:r>
        <w:rPr>
          <w:sz w:val="22"/>
          <w:szCs w:val="22"/>
        </w:rPr>
        <w:t xml:space="preserve">Staff covered by this policy are trained at induction and «once a year» after that. Training covers the What-we-do steps, non-negotiables and stop-work (if present).</w:t>
      </w:r>
    </w:p>
    <w:p>
      <w:pPr>
        <w:spacing w:after="140"/>
      </w:pPr>
      <w:r>
        <w:rPr>
          <w:sz w:val="22"/>
          <w:szCs w:val="22"/>
        </w:rPr>
        <w:t xml:space="preserve">Staff acknowledgement</w:t>
      </w:r>
    </w:p>
    <w:p>
      <w:pPr>
        <w:spacing w:after="140"/>
      </w:pPr>
      <w:r>
        <w:rPr>
          <w:sz w:val="22"/>
          <w:szCs w:val="22"/>
        </w:rPr>
        <w:t xml:space="preserve">I have read this Prevention of Healthcare Associated Infections in Patients policy of «Hospital Name». I will follow the processes described.</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Quality Coordinator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Quality Coordinator holds signed acknowledgements with the induction record.</w:t>
      </w:r>
    </w:p>
    <w:p>
      <w:pPr>
        <w:pStyle w:val="Heading1"/>
        <w:spacing w:after="120" w:before="280"/>
      </w:pPr>
      <w:r>
        <w:t xml:space="preserve">10. References</w:t>
      </w:r>
    </w:p>
    <w:p>
      <w:pPr>
        <w:pStyle w:val="ListParagraph"/>
        <w:numPr>
          <w:ilvl w:val="0"/>
          <w:numId w:val="1"/>
        </w:numPr>
        <w:spacing w:after="60"/>
      </w:pPr>
      <w:r>
        <w:rPr>
          <w:sz w:val="22"/>
          <w:szCs w:val="22"/>
        </w:rPr>
        <w:t xml:space="preserve">National Accreditation Board for Hospitals and Healthcare Providers (NABH), Accreditation Standards for Hospitals, 6th Edition (January 2025) — Infection Prevention and Control, standard IPC.5. Official portal PDF (OE text, counts, levels, asterisks).</w:t>
      </w:r>
    </w:p>
    <w:p>
      <w:pPr>
        <w:pStyle w:val="ListParagraph"/>
        <w:numPr>
          <w:ilvl w:val="0"/>
          <w:numId w:val="1"/>
        </w:numPr>
        <w:spacing w:after="60"/>
      </w:pPr>
      <w:r>
        <w:rPr>
          <w:sz w:val="22"/>
          <w:szCs w:val="22"/>
        </w:rPr>
        <w:t xml:space="preserve">NABH Guidebook to Accreditation Standards for Hospitals, 6th Edition — IPC.5 interpretations (source PDF md5 2c4489ee98de4ae9b49cba168ea9f42a; OCR policies/source/hco6_ipc_guidebook_ocr.txt).</w:t>
      </w:r>
    </w:p>
    <w:p>
      <w:pPr>
        <w:pStyle w:val="ListParagraph"/>
        <w:numPr>
          <w:ilvl w:val="0"/>
          <w:numId w:val="1"/>
        </w:numPr>
        <w:spacing w:after="60"/>
      </w:pPr>
      <w:r>
        <w:rPr>
          <w:sz w:val="22"/>
          <w:szCs w:val="22"/>
        </w:rPr>
        <w:t xml:space="preserve">Internal documents of «Hospital Name»: Infection Prevention and Control Manual, antimicrobial policy, BMW and housekeeping procedures, CSSD sterilisation records, occupational-health and PEP guidance named for IPC.5.</w:t>
      </w:r>
    </w:p>
    <w:p>
      <w:pPr>
        <w:pStyle w:val="Heading1"/>
        <w:spacing w:after="120" w:before="280"/>
      </w:pPr>
      <w:r>
        <w:t xml:space="preserve">11. Distribution</w:t>
      </w:r>
    </w:p>
    <w:p>
      <w:pPr>
        <w:spacing w:after="140"/>
      </w:pPr>
      <w:r>
        <w:rPr>
          <w:sz w:val="22"/>
          <w:szCs w:val="22"/>
        </w:rPr>
        <w:t xml:space="preserve">Medical Superintendent; Infection Prevention and Control Officer; Infection Prevention and Control Nurse; Nursing Superintendent; CSSD In-Charge; Occupational Health Physician; Quality Coordinator; department clinical and support staff covered by IPC.5</w:t>
      </w:r>
    </w:p>
    <w:p>
      <w:pPr>
        <w:pStyle w:val="Heading1"/>
        <w:spacing w:after="120" w:before="280"/>
      </w:pPr>
      <w:r>
        <w:t xml:space="preserve">12. Abbreviations</w:t>
      </w:r>
    </w:p>
    <w:p>
      <w:pPr>
        <w:spacing w:after="140"/>
      </w:pPr>
      <w:r>
        <w:rPr>
          <w:sz w:val="22"/>
          <w:szCs w:val="22"/>
        </w:rPr>
        <w:t xml:space="preserve">AMS — Antimicrobial Stewardship
BMW — Biomedical Waste
CAPA — Corrective and Preventive Action
CLABSI — Central Line Associated Bloodstream Infection
CORE — Core objective element (NABH)
CSSD — Central Sterile Services Department
CAUTI — Catheter-Associated Urinary Tract Infection
HAI — Healthcare Associated Infection
HCO — Hospital (Full Accreditation programme under NABH Hospitals 6th Edition)
HISI — Hospital Infection Society India
IPC — Infection Prevention and Control (NABH Hospitals 6th Edition chapter)
MDRO — Multi-Drug-Resistant Organism
NABH — National Accreditation Board for Hospitals and Healthcare Providers
OE — Objective Element
PEP — Post-Exposure Prophylaxis
PPE — Personal Protective Equipment
SSI — Surgical Site Infection
VAP — Ventilator-Associated Pneumonia
WHO — World Health Organization</w:t>
      </w:r>
    </w:p>
    <w:p>
      <w:pPr>
        <w:pStyle w:val="Heading1"/>
        <w:spacing w:after="120" w:before="280"/>
      </w:pPr>
      <w:r>
        <w:t xml:space="preserve">13. Traceability to NABH HCO Full Accreditation 6th Edition IPC.5</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IPC.5.a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takes action to prevent catheter-associated urinary tract Infections.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Infection Prevention and Control Officer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IPC.5.b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takes action to prevent ventilator- associated pneumonia.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Infection Prevention and Control Officer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IPC.5.c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takes action to prevent central line associated blood stream infections.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Infection Prevention and Control Officer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IPC.5.d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takes action to prevent surgical site infections.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Infection Prevention and Control Officer</w:t>
            </w:r>
          </w:p>
        </w:tc>
      </w:tr>
    </w:tbl>
    <w:p>
      <w:pPr>
        <w:pStyle w:val="Heading1"/>
        <w:spacing w:after="120" w:before="280"/>
      </w:pPr>
      <w:r>
        <w:t xml:space="preserve">14.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IPC.5.a — The organisation takes action to prevent catheter-associated urinary tract Infections.</w:t>
      </w:r>
    </w:p>
    <w:p>
      <w:pPr>
        <w:pStyle w:val="ListParagraph"/>
        <w:numPr>
          <w:ilvl w:val="0"/>
          <w:numId w:val="1"/>
        </w:numPr>
        <w:spacing w:after="60"/>
      </w:pPr>
      <w:r>
        <w:rPr>
          <w:sz w:val="22"/>
          <w:szCs w:val="22"/>
        </w:rPr>
        <w:t xml:space="preserve">CAUTI-prevention bundle: insertion-indication record, aseptic-insertion checklist, daily removal-review log.</w:t>
      </w:r>
    </w:p>
    <w:p>
      <w:pPr>
        <w:pStyle w:val="ListParagraph"/>
        <w:numPr>
          <w:ilvl w:val="0"/>
          <w:numId w:val="1"/>
        </w:numPr>
        <w:spacing w:after="60"/>
      </w:pPr>
      <w:r>
        <w:rPr>
          <w:sz w:val="22"/>
          <w:szCs w:val="22"/>
        </w:rPr>
        <w:t xml:space="preserve">Closed-system maintenance record.</w:t>
      </w:r>
    </w:p>
    <w:p>
      <w:pPr>
        <w:pStyle w:val="ListParagraph"/>
        <w:numPr>
          <w:ilvl w:val="0"/>
          <w:numId w:val="1"/>
        </w:numPr>
        <w:spacing w:after="60"/>
      </w:pPr>
      <w:r>
        <w:rPr>
          <w:sz w:val="22"/>
          <w:szCs w:val="22"/>
        </w:rPr>
        <w:t xml:space="preserve">Nursing documentation confirming the bundle was followed for a sampled case.</w:t>
      </w:r>
    </w:p>
    <w:p>
      <w:pPr>
        <w:pStyle w:val="Heading2"/>
        <w:spacing w:after="100" w:before="220"/>
      </w:pPr>
      <w:r>
        <w:t xml:space="preserve">IPC.5.b — The organisation takes action to prevent ventilator- associated pneumonia.</w:t>
      </w:r>
    </w:p>
    <w:p>
      <w:pPr>
        <w:pStyle w:val="ListParagraph"/>
        <w:numPr>
          <w:ilvl w:val="0"/>
          <w:numId w:val="1"/>
        </w:numPr>
        <w:spacing w:after="60"/>
      </w:pPr>
      <w:r>
        <w:rPr>
          <w:sz w:val="22"/>
          <w:szCs w:val="22"/>
        </w:rPr>
        <w:t xml:space="preserve">VAP-prevention bundle: head-of-bed-elevation record, oral-care log, sedation/weaning review record.</w:t>
      </w:r>
    </w:p>
    <w:p>
      <w:pPr>
        <w:pStyle w:val="ListParagraph"/>
        <w:numPr>
          <w:ilvl w:val="0"/>
          <w:numId w:val="1"/>
        </w:numPr>
        <w:spacing w:after="60"/>
      </w:pPr>
      <w:r>
        <w:rPr>
          <w:sz w:val="22"/>
          <w:szCs w:val="22"/>
        </w:rPr>
        <w:t xml:space="preserve">Circuit-handling record per the bundle.</w:t>
      </w:r>
    </w:p>
    <w:p>
      <w:pPr>
        <w:pStyle w:val="ListParagraph"/>
        <w:numPr>
          <w:ilvl w:val="0"/>
          <w:numId w:val="1"/>
        </w:numPr>
        <w:spacing w:after="60"/>
      </w:pPr>
      <w:r>
        <w:rPr>
          <w:sz w:val="22"/>
          <w:szCs w:val="22"/>
        </w:rPr>
        <w:t xml:space="preserve">Nursing or respiratory-therapy documentation confirming bundle compliance for a sampled case.</w:t>
      </w:r>
    </w:p>
    <w:p>
      <w:pPr>
        <w:pStyle w:val="Heading2"/>
        <w:spacing w:after="100" w:before="220"/>
      </w:pPr>
      <w:r>
        <w:t xml:space="preserve">IPC.5.c — The organisation takes action to prevent central line associated blood stream infections.</w:t>
      </w:r>
    </w:p>
    <w:p>
      <w:pPr>
        <w:pStyle w:val="ListParagraph"/>
        <w:numPr>
          <w:ilvl w:val="0"/>
          <w:numId w:val="1"/>
        </w:numPr>
        <w:spacing w:after="60"/>
      </w:pPr>
      <w:r>
        <w:rPr>
          <w:sz w:val="22"/>
          <w:szCs w:val="22"/>
        </w:rPr>
        <w:t xml:space="preserve">CLABSI-prevention bundle: maximal-barrier insertion checklist, skin-prep record, daily line-necessity review.</w:t>
      </w:r>
    </w:p>
    <w:p>
      <w:pPr>
        <w:pStyle w:val="ListParagraph"/>
        <w:numPr>
          <w:ilvl w:val="0"/>
          <w:numId w:val="1"/>
        </w:numPr>
        <w:spacing w:after="60"/>
      </w:pPr>
      <w:r>
        <w:rPr>
          <w:sz w:val="22"/>
          <w:szCs w:val="22"/>
        </w:rPr>
        <w:t xml:space="preserve">Hub-care record.</w:t>
      </w:r>
    </w:p>
    <w:p>
      <w:pPr>
        <w:pStyle w:val="ListParagraph"/>
        <w:numPr>
          <w:ilvl w:val="0"/>
          <w:numId w:val="1"/>
        </w:numPr>
        <w:spacing w:after="60"/>
      </w:pPr>
      <w:r>
        <w:rPr>
          <w:sz w:val="22"/>
          <w:szCs w:val="22"/>
        </w:rPr>
        <w:t xml:space="preserve">Nursing documentation confirming bundle compliance for a sampled case.</w:t>
      </w:r>
    </w:p>
    <w:p>
      <w:pPr>
        <w:pStyle w:val="Heading2"/>
        <w:spacing w:after="100" w:before="220"/>
      </w:pPr>
      <w:r>
        <w:t xml:space="preserve">IPC.5.d — The organisation takes action to prevent surgical site infections.</w:t>
      </w:r>
    </w:p>
    <w:p>
      <w:pPr>
        <w:pStyle w:val="ListParagraph"/>
        <w:numPr>
          <w:ilvl w:val="0"/>
          <w:numId w:val="1"/>
        </w:numPr>
        <w:spacing w:after="60"/>
      </w:pPr>
      <w:r>
        <w:rPr>
          <w:sz w:val="22"/>
          <w:szCs w:val="22"/>
        </w:rPr>
        <w:t xml:space="preserve">SSI-prevention bundle: antimicrobial-prophylaxis timing record, skin-prep record, glycaemic and temperature-control log.</w:t>
      </w:r>
    </w:p>
    <w:p>
      <w:pPr>
        <w:pStyle w:val="ListParagraph"/>
        <w:numPr>
          <w:ilvl w:val="0"/>
          <w:numId w:val="1"/>
        </w:numPr>
        <w:spacing w:after="60"/>
      </w:pPr>
      <w:r>
        <w:rPr>
          <w:sz w:val="22"/>
          <w:szCs w:val="22"/>
        </w:rPr>
        <w:t xml:space="preserve">Sterile-technique confirmation for the case.</w:t>
      </w:r>
    </w:p>
    <w:p>
      <w:pPr>
        <w:pStyle w:val="ListParagraph"/>
        <w:numPr>
          <w:ilvl w:val="0"/>
          <w:numId w:val="1"/>
        </w:numPr>
        <w:spacing w:after="60"/>
      </w:pPr>
      <w:r>
        <w:rPr>
          <w:sz w:val="22"/>
          <w:szCs w:val="22"/>
        </w:rPr>
        <w:t xml:space="preserve">Cross-reference to the surgical-safety checklist.</w:t>
      </w:r>
    </w:p>
    <w:p>
      <w:pPr>
        <w:pStyle w:val="Heading1"/>
        <w:spacing w:after="120" w:before="280"/>
      </w:pPr>
      <w:r>
        <w:t xml:space="preserve">Disclaimer</w:t>
      </w:r>
    </w:p>
    <w:p>
      <w:pPr>
        <w:spacing w:after="140"/>
      </w:pPr>
      <w:r>
        <w:rPr>
          <w:sz w:val="22"/>
          <w:szCs w:val="22"/>
        </w:rPr>
        <w:t xml:space="preserve">This document is a template prepared for the guidance of «Hospital Name» and must be reviewed, adapted and formally approved by «Hospital Name» before use. Every entry marked [Hospital to define] must be replaced with the hospital's own decision; a document issued with those markers left in place is not an approved policy.</w:t>
      </w:r>
    </w:p>
    <w:p>
      <w:pPr>
        <w:spacing w:after="140"/>
      </w:pPr>
      <w:r>
        <w:rPr>
          <w:sz w:val="22"/>
          <w:szCs w:val="22"/>
        </w:rPr>
        <w:t xml:space="preserve">The requirements in this document are accreditation requirements of the NABH Full Accreditation Standards for Hospitals, 6th Edition, not duties under a named Act of Parliament. This policy does not import the Consumer Protection Act, 2019, the Clinical Establishments Act, 2010, or the Mental Healthcare Act, 2017 as a checklist. Statutory duties that arise under other documents of «Hospital Name» remain those documents. «Hospital Name» is responsible for verifying any statutory duty that applies to it; this document does not constitute legal advice.</w:t>
      </w:r>
    </w:p>
    <w:p>
      <w:pPr>
        <w:spacing w:after="140"/>
      </w:pPr>
      <w:r>
        <w:rPr>
          <w:sz w:val="22"/>
          <w:szCs w:val="22"/>
        </w:rPr>
        <w:t xml:space="preserve">The clinical and technical content reflects recognised national and international guidance current at the date of preparation. «Hospital Name»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«Hospital Name»  |  «HCO/IPC/POL/05»  |  Controlled document  |  Prevention of Healthcare Associated Infections in Patients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2026-08-21T14:58:33.953Z</dcterms:created>
  <dcterms:modified xsi:type="dcterms:W3CDTF">2026-08-21T14:58:33.955Z</dcterms:modified>
</cp:coreProperties>
</file>

<file path=docProps/custom.xml><?xml version="1.0" encoding="utf-8"?>
<Properties xmlns="http://schemas.openxmlformats.org/officeDocument/2006/custom-properties" xmlns:vt="http://schemas.openxmlformats.org/officeDocument/2006/docPropsVTypes"/>
</file>