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AAC.4.c — Requisition for tests, collection, identification, handling, safe transportation, processing and disposal of specimens is performed according to written guidance.</w:t>
      </w:r>
    </w:p>
    <w:p>
      <w:r>
        <w:t>AAC.4 Record 01 — Specimen handling and disposal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Specimen ID: Linked to the patient's unique identifier.</w:t>
      </w:r>
    </w:p>
    <w:p>
      <w:pPr>
        <w:pStyle w:val="ListParagraph"/>
      </w:pPr>
      <w:r>
        <w:t>Test Requested: The test the specimen was collected for.</w:t>
      </w:r>
    </w:p>
    <w:p>
      <w:pPr>
        <w:pStyle w:val="ListParagraph"/>
      </w:pPr>
      <w:r>
        <w:t>Collection Date/Time: When the specimen was collected.</w:t>
      </w:r>
    </w:p>
    <w:p>
      <w:pPr>
        <w:pStyle w:val="ListParagraph"/>
      </w:pPr>
      <w:r>
        <w:t>Received in Lab (Date/Time): When the lab received it.</w:t>
      </w:r>
    </w:p>
    <w:p>
      <w:pPr>
        <w:pStyle w:val="ListParagraph"/>
      </w:pPr>
      <w:r>
        <w:t>Disposal Method / Date: How and when the specimen was disposed of.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ListParagraph"/>
        <w:spacing w:after="240" w:before="80"/>
        <w:contextualSpacing w:val="0"/>
      </w:pPr>
      <w:r>
        <w:t xml:space="preserve">• Ministry of Environment, Forest and Climate Change, Government of India. (2016). </w:t>
      </w:r>
      <w:hyperlink r:id="rId10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traces every specimen from collection to disposal, confirming written guidance was followed at each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Laboratory staff log each specimen on receipt and at disposal. The worked example shows a CBC sample tracked end to end.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trail, a specimen-handling error — wrong label, lost sample, improper disposal — cannot be traced back to where it happened.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Specimen ID</w:t>
            </w:r>
          </w:p>
        </w:tc>
        <w:tc>
          <w:tcPr>
            <w:tcW w:type="dxa" w:w="1728"/>
          </w:tcPr>
          <w:p>
            <w:r>
              <w:t>Test Requested</w:t>
            </w:r>
          </w:p>
        </w:tc>
        <w:tc>
          <w:tcPr>
            <w:tcW w:type="dxa" w:w="1728"/>
          </w:tcPr>
          <w:p>
            <w:r>
              <w:t>Collection Date/Time</w:t>
            </w:r>
          </w:p>
        </w:tc>
        <w:tc>
          <w:tcPr>
            <w:tcW w:type="dxa" w:w="1728"/>
          </w:tcPr>
          <w:p>
            <w:r>
              <w:t>Received in Lab (Date/Time)</w:t>
            </w:r>
          </w:p>
        </w:tc>
        <w:tc>
          <w:tcPr>
            <w:tcW w:type="dxa" w:w="1728"/>
          </w:tcPr>
          <w:p>
            <w:r>
              <w:t>Disposal Method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SHC-2026-00142-S1</w:t>
            </w:r>
          </w:p>
        </w:tc>
        <w:tc>
          <w:tcPr>
            <w:tcW w:type="dxa" w:w="1728"/>
            <w:shd w:val="clear" w:color="auto" w:fill="FFF2CC"/>
          </w:tcPr>
          <w:p>
            <w:r>
              <w:t>CBC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 / 08:10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 / 08:25</w:t>
            </w:r>
          </w:p>
        </w:tc>
        <w:tc>
          <w:tcPr>
            <w:tcW w:type="dxa" w:w="1728"/>
            <w:shd w:val="clear" w:color="auto" w:fill="FFF2CC"/>
          </w:tcPr>
          <w:p>
            <w:r>
              <w:t>Autoclaved and segregated per BMW procedure, 16-Feb-2026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cpcb.nic.in/bio-medic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