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Imaging Services — Turnaround Time, Critical Results, Outsourcing, Quality Assurance and Calibration</w:t>
      </w:r>
    </w:p>
    <w:p>
      <w:r>
        <w:t>«Hospital Name» — SOP-AAC.5.d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SOP-AAC.5.d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ensures imaging results are available within a defined time frame, critical imaging findings are intimated immediately with escalation if the first attempt fails, outsourced imaging services are selected on quality assurance grounds, patients are screened for imaging-specific safety risks before the study, an imaging quality assurance programme is implemented, and imaging equipment is calibrated and maintained -- including statutory radiation-safety compliance and a documented contingency when equipment is down.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patient of childbearing age is due for an X-ray and nobody has asked about pregnancy. This SOP is what requires that screen to happen and be documented before the study goes ahead -- not discovered as a problem afterward.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an imaging study that goes ahead without checking whether it's actually safe for this particular patient -- an unnecessary radiation exposure, a contrast study on someone with a known allergy -- turns a diagnostic step into the injury it was meant to help prevent.</w:t>
            </w:r>
          </w:p>
        </w:tc>
      </w:tr>
    </w:tbl>
    <w:p/>
    <w:p>
      <w:r>
        <w:t>To define how «Hospital Name» manages imaging turnaround time, critical results, outsourcing, quality assurance, equipment calibration and radiation-safety compliance.</w:t>
      </w:r>
    </w:p>
    <w:p>
      <w:pPr>
        <w:pStyle w:val="Heading1"/>
      </w:pPr>
      <w:r>
        <w:t>2. Scope</w:t>
      </w:r>
    </w:p>
    <w:p>
      <w:r>
        <w:t>so the Imaging In-Charge and every ordering or outsourcing clinician follow the same safety and quality standard.</w:t>
      </w:r>
    </w:p>
    <w:p>
      <w:r>
        <w:t>Applies to the Imaging/Radiology In-Charge, radiology staff, and every clinician ordering or outsourcing an imaging study.</w:t>
      </w:r>
    </w:p>
    <w:p>
      <w:pPr>
        <w:pStyle w:val="Heading1"/>
      </w:pPr>
      <w:r>
        <w:t>3. Responsibility</w:t>
      </w:r>
    </w:p>
    <w:p>
      <w:r>
        <w:t>an unscreened patient, an unescalated critical finding, or an uncalibrated scanner each turns a diagnostic step into a risk.</w:t>
      </w:r>
    </w:p>
    <w:p>
      <w:r>
        <w:rPr>
          <w:b/>
        </w:rPr>
        <w:t xml:space="preserve">Imaging In-Charge: </w:t>
      </w:r>
      <w:r>
        <w:t>Monitors turnaround time, maintains the critical-finding list, runs the pre-imaging safety screen, runs the imaging QA programme, and maintains the equipment calibration schedule including statutory radiation-safety compliance and downtime contingency.</w:t>
      </w:r>
    </w:p>
    <w:p>
      <w:r>
        <w:rPr>
          <w:b/>
        </w:rPr>
        <w:t xml:space="preserve">Medical Superintendent: </w:t>
      </w:r>
      <w:r>
        <w:t>Approves outsourced imaging providers and reviews the QA programme at least annually.</w:t>
      </w:r>
    </w:p>
    <w:p>
      <w:pPr>
        <w:pStyle w:val="Heading1"/>
      </w:pPr>
      <w:r>
        <w:t>4. What to do</w:t>
      </w:r>
    </w:p>
    <w:p>
      <w:pPr>
        <w:pStyle w:val="Heading2"/>
      </w:pPr>
      <w:r>
        <w:t>Screen the patient before imaging</w:t>
      </w:r>
    </w:p>
    <w:p>
      <w:r>
        <w:t>An imaging study that goes ahead without checking whether it's actually safe for this particular patient -- an unnecessary radiation exposure to a pregnant patient, a contrast study on someone with a known allergy -- turns a diagnostic step into the injury it was meant to help prevent.</w:t>
      </w:r>
    </w:p>
    <w:p>
      <w:r>
        <w:t>Before any radiation-based study, pregnancy status is screened and documented for a patient of childbearing age, following the ALARA (as low as reasonably achievable) principle.</w:t>
      </w:r>
    </w:p>
    <w:p>
      <w:r>
        <w:t>Before any contrast-enhanced study, known allergy and relevant renal history are screened and documented.</w:t>
      </w:r>
    </w:p>
    <w:p>
      <w:pPr>
        <w:pStyle w:val="Heading2"/>
      </w:pPr>
      <w:r>
        <w:t>Turnaround time and critical results, with escalation</w:t>
      </w:r>
    </w:p>
    <w:p>
      <w:r>
        <w:t>An imaging finding that could change immediate management -- a pneumothorax, a fracture needing urgent reduction -- is only useful if it reaches the clinician fast, and a single unanswered call cannot be where that process stops.</w:t>
      </w:r>
    </w:p>
    <w:p>
      <w:r>
        <w:t>Each imaging modality has a defined turnaround time from study completion to report availability, tracked against the target.</w:t>
      </w:r>
    </w:p>
    <w:p>
      <w:r>
        <w:t>Critical imaging findings are defined on a written list and communicated directly to the treating clinician immediately, with the communication logged.</w:t>
      </w:r>
    </w:p>
    <w:p>
      <w:r>
        <w:t>If the treating clinician cannot be reached within a defined time, the Imaging In-Charge escalates to the next person on the on-call list, with every attempt logged.</w:t>
      </w:r>
    </w:p>
    <w:p>
      <w:pPr>
        <w:pStyle w:val="Heading2"/>
      </w:pPr>
      <w:r>
        <w:t>Outsourcing imaging services</w:t>
      </w:r>
    </w:p>
    <w:p>
      <w:r>
        <w:t>Sending a patient to an external imaging centre with no check on its quality assurance or radiation-safety compliance passes that risk straight to the patient.</w:t>
      </w:r>
    </w:p>
    <w:p>
      <w:r>
        <w:t>Before imaging is outsourced, the receiving facility's quality assurance credentials and radiation-safety compliance are verified and kept on file.</w:t>
      </w:r>
    </w:p>
    <w:p>
      <w:r>
        <w:t>The approved outsourced-imaging list is reviewed at least annually.</w:t>
      </w:r>
    </w:p>
    <w:p>
      <w:pPr>
        <w:pStyle w:val="Heading2"/>
      </w:pPr>
      <w:r>
        <w:t>Quality assurance, calibration, radiation safety, and downtime</w:t>
      </w:r>
    </w:p>
    <w:p>
      <w:r>
        <w:t>Imaging equipment that is neither quality-checked nor calibrated can produce a misleading image, unmanaged radiation output is a statutory safety failure on top of a clinical one, and equipment taken offline with no plan turns a technical fault into an access gap.</w:t>
      </w:r>
    </w:p>
    <w:p>
      <w:r>
        <w:t>The imaging QA programme includes periodic image-quality checks against a defined standard, documented and reviewed.</w:t>
      </w:r>
    </w:p>
    <w:p>
      <w:r>
        <w:t>Every imaging equipment item has a defined calibration and preventive-maintenance schedule, carried out and logged, with equipment taken out of service immediately if found out of calibration.</w:t>
      </w:r>
    </w:p>
    <w:p>
      <w:r>
        <w:t>Radiation-safety compliance -- shielding, personnel dosimetry, equipment registration/licensing as applicable -- is checked and documented per statutory requirement.</w:t>
      </w:r>
    </w:p>
    <w:p>
      <w:r>
        <w:t>For the period equipment is out of service, the Imaging In-Charge arranges a documented contingency (referral to an approved outsourced provider, or an alternate in-house modality where clinically appropriate).</w:t>
      </w:r>
    </w:p>
    <w:p>
      <w:pPr>
        <w:pStyle w:val="Heading1"/>
      </w:pPr>
      <w:r>
        <w:t>5. Records</w:t>
      </w:r>
    </w:p>
    <w:p>
      <w:r>
        <w:t>This SOP produces and maintains Records 1-6 (see the AAC.5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Imaging and Diagnostic Services (AAC.5)</w:t>
      </w:r>
    </w:p>
    <w:p>
      <w:pPr>
        <w:pStyle w:val="Heading1"/>
      </w:pPr>
      <w:r>
        <w:t>7. Review</w:t>
      </w:r>
    </w:p>
    <w:p>
      <w:r>
        <w:t>This SOP is reviewed at least annually by the Quality Coordinator together with the Imaging In-Charge, and sooner if a critical-result delay, QA finding, radiation-safety compliance gap, or equipment-downtime contingency is used.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Screen the patient before imaging — AAC.5.d</w:t>
      </w:r>
    </w:p>
    <w:p>
      <w:pPr>
        <w:pStyle w:val="Heading2"/>
      </w:pPr>
      <w:r>
        <w:t>Turnaround time and critical results, with escalation — AAC.5.e</w:t>
      </w:r>
    </w:p>
    <w:p>
      <w:pPr>
        <w:pStyle w:val="Heading2"/>
      </w:pPr>
      <w:r>
        <w:t>Outsourcing imaging services — AAC.5.f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Government of India, Department of Atomic Energy. (2004). </w:t>
      </w:r>
      <w:hyperlink r:id="rId9">
        <w:r>
          <w:rPr>
            <w:color w:val="0563C1"/>
            <w:u w:val="single"/>
          </w:rPr>
          <w:t>Atomic Energy (Radiation Protection) Rules, 2004</w:t>
        </w:r>
      </w:hyperlink>
      <w:r>
        <w:t xml:space="preserve"> (G.S.R. 303, 25-Aug-2004). Statutory radiation-safety requirement administered by the Atomic Energy Regulatory Board (AERB); applies to diagnostic X-ray and imaging equipment.</w:t>
      </w:r>
    </w:p>
    <w:p>
      <w:pPr>
        <w:pStyle w:val="Heading2"/>
      </w:pPr>
      <w:r>
        <w:t>Quality assurance, calibration, radiation safety, and downtime — AAC.5.g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Government of India, Department of Atomic Energy. (2004). </w:t>
      </w:r>
      <w:hyperlink r:id="rId9">
        <w:r>
          <w:rPr>
            <w:color w:val="0563C1"/>
            <w:u w:val="single"/>
          </w:rPr>
          <w:t>Atomic Energy (Radiation Protection) Rules, 2004</w:t>
        </w:r>
      </w:hyperlink>
      <w:r>
        <w:t xml:space="preserve"> (G.S.R. 303, 25-Aug-2004). Statutory radiation-safety requirement administered by the Atomic Energy Regulatory Board (AERB); applies to diagnostic X-ray and imaging equipment.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p>
      <w:pPr>
        <w:pStyle w:val="ListParagraph"/>
      </w:pPr>
      <w:r>
        <w:t xml:space="preserve">• </w:t>
      </w:r>
      <w:r>
        <w:t xml:space="preserve">Government of India, Department of Atomic Energy. (2004). </w:t>
      </w:r>
      <w:hyperlink r:id="rId9">
        <w:r>
          <w:rPr>
            <w:color w:val="0563C1"/>
            <w:u w:val="single"/>
          </w:rPr>
          <w:t>Atomic Energy (Radiation Protection) Rules, 2004</w:t>
        </w:r>
      </w:hyperlink>
      <w:r>
        <w:t xml:space="preserve"> (G.S.R. 303, 25-Aug-2004). Statutory radiation-safety requirement administered by the Atomic Energy Regulatory Board (AERB); applies to diagnostic X-ray and imaging equipment.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gw3.aerb.gov.in/images/PDF/RPR2004.pdf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