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COP.10.d — Informed consent for administration of anaesthesia</w:t>
      </w:r>
    </w:p>
    <w:p>
      <w:r>
        <w:t>COP.10 Record 4 — Anaesthesia informed consent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consent was obtained.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Consent Form Used: Dedicated anaesthesia consent / combined procedure-and-anaesthesia consent / other.</w:t>
      </w:r>
    </w:p>
    <w:p>
      <w:pPr>
        <w:pStyle w:val="ListParagraph"/>
      </w:pPr>
      <w:r>
        <w:t>Consent Obtained Before Induction? (Y/N, time of induction): Confirms consent preceded induction.</w:t>
      </w:r>
    </w:p>
    <w:p>
      <w:pPr>
        <w:pStyle w:val="ListParagraph"/>
      </w:pPr>
      <w:r>
        <w:t>If Minor/Cannot Consent -- Signed By: Person entitled to consent, per patient-rights policy.</w:t>
      </w:r>
    </w:p>
    <w:p>
      <w:pPr>
        <w:pStyle w:val="ListParagraph"/>
      </w:pPr>
      <w:r>
        <w:t>Clinician Obtaining Consent: Name of clinician.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anaesthesia consent itself -- not just surgical consent -- was obtained, and obtained before induction.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signs a combined consent covering both the operation and the anaesthetic at 8:00 a.m.; induction is at 9:00 a.m. This log is the proof consent came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informed consent for administration of anaesthesia to be obtained.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Consent Form Used</w:t>
            </w:r>
          </w:p>
        </w:tc>
        <w:tc>
          <w:tcPr>
            <w:tcW w:type="dxa" w:w="1440"/>
          </w:tcPr>
          <w:p>
            <w:r>
              <w:t>Consent Obtained Before Induction? (Y/N, time of induction)</w:t>
            </w:r>
          </w:p>
        </w:tc>
        <w:tc>
          <w:tcPr>
            <w:tcW w:type="dxa" w:w="1440"/>
          </w:tcPr>
          <w:p>
            <w:r>
              <w:t>If Minor/Cannot Consent -- Signed By</w:t>
            </w:r>
          </w:p>
        </w:tc>
        <w:tc>
          <w:tcPr>
            <w:tcW w:type="dxa" w:w="1440"/>
          </w:tcPr>
          <w:p>
            <w:r>
              <w:t>Clinician Obtaining Consent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08:00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UHID-00610</w:t>
            </w:r>
          </w:p>
        </w:tc>
        <w:tc>
          <w:tcPr>
            <w:tcW w:type="dxa" w:w="1440"/>
            <w:shd w:val="clear" w:color="auto" w:fill="FFF2CC"/>
          </w:tcPr>
          <w:p>
            <w:r>
              <w:t>Combined procedure-and-anaesthesia consent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induction 09:00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