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COP.10.g — Type of anaesthesia and anaesthetic medicines in the patient record</w:t>
      </w:r>
    </w:p>
    <w:p>
      <w:r>
        <w:t>COP.10 Record 7 — Anaesthesia type and medicines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Planned Type (from Record 2): Type planned at the pre-anaesthesia assessment.</w:t>
      </w:r>
    </w:p>
    <w:p>
      <w:pPr>
        <w:pStyle w:val="ListParagraph"/>
      </w:pPr>
      <w:r>
        <w:t>Type Actually Given: Type actually administered; noted if different from planned.</w:t>
      </w:r>
    </w:p>
    <w:p>
      <w:pPr>
        <w:pStyle w:val="ListParagraph"/>
      </w:pPr>
      <w:r>
        <w:t>Anaesthetic Medicines Used: All medicines given, with dose and time.</w:t>
      </w:r>
    </w:p>
    <w:p>
      <w:pPr>
        <w:pStyle w:val="ListParagraph"/>
      </w:pPr>
      <w:r>
        <w:t>Recorded By: Person administering anaesthesia.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type and every medicine actually given were written into the record -- not left to recall if ever questioned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After the case, the anaesthetic chart shows exactly which medicines were given, at what dose and time, against the type actually used.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type of anaesthesia and anaesthetic medications used to be documented in the patient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Planned Type (from Record 2)</w:t>
            </w:r>
          </w:p>
        </w:tc>
        <w:tc>
          <w:tcPr>
            <w:tcW w:type="dxa" w:w="1728"/>
          </w:tcPr>
          <w:p>
            <w:r>
              <w:t>Type Actually Given</w:t>
            </w:r>
          </w:p>
        </w:tc>
        <w:tc>
          <w:tcPr>
            <w:tcW w:type="dxa" w:w="1728"/>
          </w:tcPr>
          <w:p>
            <w:r>
              <w:t>Anaesthetic Medicines Used</w:t>
            </w:r>
          </w:p>
        </w:tc>
        <w:tc>
          <w:tcPr>
            <w:tcW w:type="dxa" w:w="1728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UHID-00610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anaesthesia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anaesthesia (as planned)</w:t>
            </w:r>
          </w:p>
        </w:tc>
        <w:tc>
          <w:tcPr>
            <w:tcW w:type="dxa" w:w="1728"/>
            <w:shd w:val="clear" w:color="auto" w:fill="FFF2CC"/>
          </w:tcPr>
          <w:p>
            <w:r>
              <w:t>Propofol 150mg 09:00; Fentanyl 100mcg 09:00; Atracurium 30mg 09:01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«Name», Anaesthetist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