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COP.11.b — Pre-operative assessment, documented diagnosis and instructions</w:t>
      </w:r>
    </w:p>
    <w:p>
      <w:r>
        <w:t>COP.11 Record 2 — Pre-operative assessment, diagnosis and instructions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time, before the patient enters the OR.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Pre-Operative Diagnosis: Written diagnosis.</w:t>
      </w:r>
    </w:p>
    <w:p>
      <w:pPr>
        <w:pStyle w:val="ListParagraph"/>
      </w:pPr>
      <w:r>
        <w:t>Pre-Operative Instructions Given: Fasting/medication/skin prep/other, per hospital's set.</w:t>
      </w:r>
    </w:p>
    <w:p>
      <w:pPr>
        <w:pStyle w:val="ListParagraph"/>
      </w:pPr>
      <w:r>
        <w:t>Performed By: Clinician performing the assessment.</w:t>
      </w:r>
    </w:p>
    <w:p>
      <w:pPr>
        <w:pStyle w:val="ListParagraph"/>
      </w:pPr>
      <w:r>
        <w:t>Emergency? (Y/N, elements incomplete and why): If emergency, what was possible.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diagnosis and the instructions were written down before the patient reached the operating room -- not reconstructed afterward from the operation note.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Before an appendicectomy, this record shows the diagnosis and fasting instructions written the evening before, not invented after the fact.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surgical patients to have a pre-operative assessment, a documented pre-operative diagnosis, and pre-operative instructions.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Pre-Operative Diagnosis</w:t>
            </w:r>
          </w:p>
        </w:tc>
        <w:tc>
          <w:tcPr>
            <w:tcW w:type="dxa" w:w="1440"/>
          </w:tcPr>
          <w:p>
            <w:r>
              <w:t>Pre-Operative Instructions Given</w:t>
            </w:r>
          </w:p>
        </w:tc>
        <w:tc>
          <w:tcPr>
            <w:tcW w:type="dxa" w:w="1440"/>
          </w:tcPr>
          <w:p>
            <w:r>
              <w:t>Performed By</w:t>
            </w:r>
          </w:p>
        </w:tc>
        <w:tc>
          <w:tcPr>
            <w:tcW w:type="dxa" w:w="1440"/>
          </w:tcPr>
          <w:p>
            <w:r>
              <w:t>Emergency? (Y/N, elements incomplete and why)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07:00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UHID-00710</w:t>
            </w:r>
          </w:p>
        </w:tc>
        <w:tc>
          <w:tcPr>
            <w:tcW w:type="dxa" w:w="1440"/>
            <w:shd w:val="clear" w:color="auto" w:fill="FFF2CC"/>
          </w:tcPr>
          <w:p>
            <w:r>
              <w:t>Acute appendicitis</w:t>
            </w:r>
          </w:p>
        </w:tc>
        <w:tc>
          <w:tcPr>
            <w:tcW w:type="dxa" w:w="1440"/>
            <w:shd w:val="clear" w:color="auto" w:fill="FFF2CC"/>
          </w:tcPr>
          <w:p>
            <w:r>
              <w:t>NPO from midnight, continue antihypertensive, standard skin prep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Surgeon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