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COP.12.a — Identification and management of vulnerable patients</w:t>
      </w:r>
    </w:p>
    <w:p>
      <w:r>
        <w:t>COP.12 Record 1 — Vulnerable-patient identification and management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identification.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Vulnerable Category: Per the hospital's written category list.</w:t>
      </w:r>
    </w:p>
    <w:p>
      <w:pPr>
        <w:pStyle w:val="ListParagraph"/>
      </w:pPr>
      <w:r>
        <w:t>Identified At: First clinical contact / change of condition.</w:t>
      </w:r>
    </w:p>
    <w:p>
      <w:pPr>
        <w:pStyle w:val="ListParagraph"/>
      </w:pPr>
      <w:r>
        <w:t>Management Measure Applied: What actually changed -- observation/accompaniment/environment.</w:t>
      </w:r>
    </w:p>
    <w:p>
      <w:pPr>
        <w:pStyle w:val="ListParagraph"/>
      </w:pPr>
      <w:r>
        <w:t>Identified By: Clinician or nurse.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the vulnerability flag actually changed what happened to the patient -- not a checkbox nobody read afterward.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elderly, confused patient is flagged at admission; this register shows the specific measures that followed, not just the tick.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identify and manage vulnerable patients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Vulnerable Category</w:t>
            </w:r>
          </w:p>
        </w:tc>
        <w:tc>
          <w:tcPr>
            <w:tcW w:type="dxa" w:w="1440"/>
          </w:tcPr>
          <w:p>
            <w:r>
              <w:t>Identified At</w:t>
            </w:r>
          </w:p>
        </w:tc>
        <w:tc>
          <w:tcPr>
            <w:tcW w:type="dxa" w:w="1440"/>
          </w:tcPr>
          <w:p>
            <w:r>
              <w:t>Management Measure Applied</w:t>
            </w:r>
          </w:p>
        </w:tc>
        <w:tc>
          <w:tcPr>
            <w:tcW w:type="dxa" w:w="1440"/>
          </w:tcPr>
          <w:p>
            <w:r>
              <w:t>Identified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UHID-00812</w:t>
            </w:r>
          </w:p>
        </w:tc>
        <w:tc>
          <w:tcPr>
            <w:tcW w:type="dxa" w:w="1440"/>
            <w:shd w:val="clear" w:color="auto" w:fill="FFF2CC"/>
          </w:tcPr>
          <w:p>
            <w:r>
              <w:t>Elderly, cognitively impaired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Admission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4th-hourly rounding, bed alarm, family encouraged to stay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