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COP.12.b — Safe and secure care-environment for the vulnerable patient</w:t>
      </w:r>
    </w:p>
    <w:p>
      <w:r>
        <w:t>COP.12 Record 2 — Care-environment measures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Date: Date of the check or event.</w:t>
      </w:r>
    </w:p>
    <w:p>
      <w:pPr>
        <w:pStyle w:val="ListParagraph"/>
      </w:pPr>
      <w:r>
        <w:t>Patient Name / UHID: Patient's identification.</w:t>
      </w:r>
    </w:p>
    <w:p>
      <w:pPr>
        <w:pStyle w:val="ListParagraph"/>
      </w:pPr>
      <w:r>
        <w:t>Care-Environment Measure: Call method / accompaniment / observation arrangement.</w:t>
      </w:r>
    </w:p>
    <w:p>
      <w:pPr>
        <w:pStyle w:val="ListParagraph"/>
      </w:pPr>
      <w:r>
        <w:t>In Place? (Y/N): Whether the measure was actually in use.</w:t>
      </w:r>
    </w:p>
    <w:p>
      <w:pPr>
        <w:pStyle w:val="ListParagraph"/>
      </w:pPr>
      <w:r>
        <w:t>Missing-Patient Event? (Y/N, action taken): If a vulnerable patient was found to be missing.</w:t>
      </w:r>
    </w:p>
    <w:p>
      <w:pPr>
        <w:pStyle w:val="ListParagraph"/>
      </w:pPr>
      <w:r>
        <w:t>Checked/Actioned By: Staff member.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COP.12.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A log proving the bedside environment -- not just the building's locks -- actually keeps a vulnerable patient safe and accounted for.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A confused elderly patient is accompanied to the bathroom rather than left to go alone; this log is the proof that measure was followed, not just written down as policy.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NABH requires the organisation to provide a safe and secure environment for the vulnerable patient.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Patient Name / UHID</w:t>
            </w:r>
          </w:p>
        </w:tc>
        <w:tc>
          <w:tcPr>
            <w:tcW w:type="dxa" w:w="1440"/>
          </w:tcPr>
          <w:p>
            <w:r>
              <w:t>Care-Environment Measure</w:t>
            </w:r>
          </w:p>
        </w:tc>
        <w:tc>
          <w:tcPr>
            <w:tcW w:type="dxa" w:w="1440"/>
          </w:tcPr>
          <w:p>
            <w:r>
              <w:t>In Place? (Y/N)</w:t>
            </w:r>
          </w:p>
        </w:tc>
        <w:tc>
          <w:tcPr>
            <w:tcW w:type="dxa" w:w="1440"/>
          </w:tcPr>
          <w:p>
            <w:r>
              <w:t>Missing-Patient Event? (Y/N, action taken)</w:t>
            </w:r>
          </w:p>
        </w:tc>
        <w:tc>
          <w:tcPr>
            <w:tcW w:type="dxa" w:w="1440"/>
          </w:tcPr>
          <w:p>
            <w:r>
              <w:t>Checked/Actioned By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12/03/2026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UHID-00812</w:t>
            </w:r>
          </w:p>
        </w:tc>
        <w:tc>
          <w:tcPr>
            <w:tcW w:type="dxa" w:w="1440"/>
            <w:shd w:val="clear" w:color="auto" w:fill="FFF2CC"/>
          </w:tcPr>
          <w:p>
            <w:r>
              <w:t>Call bell within reach, accompanied to bathroom</w:t>
            </w:r>
          </w:p>
        </w:tc>
        <w:tc>
          <w:tcPr>
            <w:tcW w:type="dxa" w:w="1440"/>
            <w:shd w:val="clear" w:color="auto" w:fill="FFF2CC"/>
          </w:tcPr>
          <w:p>
            <w:r>
              <w:t>Y</w:t>
            </w:r>
          </w:p>
        </w:tc>
        <w:tc>
          <w:tcPr>
            <w:tcW w:type="dxa" w:w="1440"/>
            <w:shd w:val="clear" w:color="auto" w:fill="FFF2CC"/>
          </w:tcPr>
          <w:p>
            <w:r>
              <w:t>N</w:t>
            </w:r>
          </w:p>
        </w:tc>
        <w:tc>
          <w:tcPr>
            <w:tcW w:type="dxa" w:w="1440"/>
            <w:shd w:val="clear" w:color="auto" w:fill="FFF2CC"/>
          </w:tcPr>
          <w:p>
            <w:r>
              <w:t>Nurse «Name»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