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COP.1.c — The organization adopts evidence-based clinical practice guidelines and/or clinical protocols to guide uniform patient care.</w:t>
      </w:r>
    </w:p>
    <w:p>
      <w:r>
        <w:t>COP.1 Record 03 — Clinical protocol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Protocol/Guideline Name: The condition or procedure it covers.</w:t>
      </w:r>
    </w:p>
    <w:p>
      <w:pPr>
        <w:pStyle w:val="ListParagraph"/>
      </w:pPr>
      <w:r>
        <w:t>Source: Where it came from (e.g., MoHFW Standard Treatment Guidelines, professional body).</w:t>
      </w:r>
    </w:p>
    <w:p>
      <w:pPr>
        <w:pStyle w:val="ListParagraph"/>
      </w:pPr>
      <w:r>
        <w:t>Version/Date: Current version and adoption date.</w:t>
      </w:r>
    </w:p>
    <w:p>
      <w:pPr>
        <w:pStyle w:val="ListParagraph"/>
      </w:pPr>
      <w:r>
        <w:t>Status: In use or withdrawn.</w:t>
      </w:r>
    </w:p>
    <w:p>
      <w:pPr>
        <w:pStyle w:val="ListParagraph"/>
      </w:pPr>
      <w:r>
        <w:t>Location Held: Where staff can find the current version.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clinical protocol the hospital has adopted, with its current version clearly marked so staff never confuse a withdrawn protocol with a live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Clinicians and heads of department update this when a protocol is adopted or revised. The worked example shows a protocol sourced from the MoHFW Standard Treatment Guidelines.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undated, unversioned protocol folder means staff can't tell which version is current -- this register is what makes 'the version in use' a checkable fact, not a guess.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Protocol/Guideline Name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Version/Date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Location Held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Management of Acute Diarrheal Disease in Adults</w:t>
            </w:r>
          </w:p>
        </w:tc>
        <w:tc>
          <w:tcPr>
            <w:tcW w:type="dxa" w:w="1728"/>
            <w:shd w:val="clear" w:color="auto" w:fill="FFF2CC"/>
          </w:tcPr>
          <w:p>
            <w:r>
              <w:t>MoHFW Standard Treatment Guidelines</w:t>
            </w:r>
          </w:p>
        </w:tc>
        <w:tc>
          <w:tcPr>
            <w:tcW w:type="dxa" w:w="1728"/>
            <w:shd w:val="clear" w:color="auto" w:fill="FFF2CC"/>
          </w:tcPr>
          <w:p>
            <w:r>
              <w:t>v2.0, adopted 05-Mar-2026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In use</w:t>
            </w:r>
          </w:p>
        </w:tc>
        <w:tc>
          <w:tcPr>
            <w:tcW w:type="dxa" w:w="1728"/>
            <w:shd w:val="clear" w:color="auto" w:fill="FFF2CC"/>
          </w:tcPr>
          <w:p>
            <w:r>
              <w:t>Nursing station folder, General Ward and OPD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